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C32F3" w14:textId="77777777" w:rsidR="00AC59F4" w:rsidRDefault="00AC59F4">
      <w:bookmarkStart w:id="0" w:name="_heading=h.gjdgxs" w:colFirst="0" w:colLast="0"/>
      <w:bookmarkStart w:id="1" w:name="_GoBack"/>
      <w:bookmarkEnd w:id="0"/>
      <w:bookmarkEnd w:id="1"/>
    </w:p>
    <w:p w14:paraId="47BB64D3" w14:textId="77777777" w:rsidR="00AC59F4" w:rsidRDefault="007338AE">
      <w:pPr>
        <w:spacing w:after="0" w:line="240" w:lineRule="auto"/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INSTRUÇÃO TÉCNICA CONCLUSIVA </w:t>
      </w:r>
      <w:proofErr w:type="gramStart"/>
      <w:r>
        <w:rPr>
          <w:rFonts w:ascii="Arial" w:eastAsia="Arial" w:hAnsi="Arial" w:cs="Arial"/>
          <w:b/>
        </w:rPr>
        <w:t>Nº  &lt;</w:t>
      </w:r>
      <w:proofErr w:type="gramEnd"/>
      <w:r>
        <w:rPr>
          <w:rFonts w:ascii="Arial" w:eastAsia="Arial" w:hAnsi="Arial" w:cs="Arial"/>
          <w:b/>
        </w:rPr>
        <w:t xml:space="preserve">@Indicador=Número&gt; - </w:t>
      </w:r>
      <w:r>
        <w:rPr>
          <w:rFonts w:ascii="Arial" w:eastAsia="Arial" w:hAnsi="Arial" w:cs="Arial"/>
          <w:b/>
          <w:color w:val="FF0000"/>
        </w:rPr>
        <w:t>SIGLA SETOR</w:t>
      </w:r>
    </w:p>
    <w:p w14:paraId="7B17D69A" w14:textId="77777777" w:rsidR="00AC59F4" w:rsidRDefault="00AC59F4">
      <w:pPr>
        <w:tabs>
          <w:tab w:val="left" w:pos="1134"/>
        </w:tabs>
        <w:spacing w:after="0" w:line="240" w:lineRule="auto"/>
        <w:ind w:right="108"/>
        <w:rPr>
          <w:rFonts w:ascii="Arial" w:eastAsia="Arial" w:hAnsi="Arial" w:cs="Arial"/>
        </w:rPr>
      </w:pPr>
    </w:p>
    <w:p w14:paraId="5C90DDFC" w14:textId="77777777" w:rsidR="00AC59F4" w:rsidRDefault="00AC59F4">
      <w:pPr>
        <w:spacing w:after="0" w:line="240" w:lineRule="auto"/>
        <w:ind w:left="5103"/>
        <w:rPr>
          <w:rFonts w:ascii="Arial" w:eastAsia="Arial" w:hAnsi="Arial" w:cs="Arial"/>
          <w:b/>
          <w:i/>
          <w:color w:val="FF0000"/>
        </w:rPr>
      </w:pPr>
    </w:p>
    <w:p w14:paraId="3CA0F91E" w14:textId="77777777" w:rsidR="00AC59F4" w:rsidRDefault="007338AE">
      <w:pPr>
        <w:spacing w:after="0" w:line="240" w:lineRule="auto"/>
        <w:ind w:left="4251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color w:val="FF0000"/>
        </w:rPr>
        <w:t xml:space="preserve">&lt;Inserida automaticamente pelo sistema&gt; </w:t>
      </w:r>
      <w:r>
        <w:rPr>
          <w:rFonts w:ascii="Arial" w:eastAsia="Arial" w:hAnsi="Arial" w:cs="Arial"/>
          <w:b/>
          <w:i/>
        </w:rPr>
        <w:t xml:space="preserve">A ementa é do documento, </w:t>
      </w:r>
      <w:proofErr w:type="gramStart"/>
      <w:r>
        <w:rPr>
          <w:rFonts w:ascii="Arial" w:eastAsia="Arial" w:hAnsi="Arial" w:cs="Arial"/>
          <w:b/>
          <w:i/>
        </w:rPr>
        <w:t>e</w:t>
      </w:r>
      <w:proofErr w:type="gramEnd"/>
      <w:r>
        <w:rPr>
          <w:rFonts w:ascii="Arial" w:eastAsia="Arial" w:hAnsi="Arial" w:cs="Arial"/>
          <w:b/>
          <w:i/>
        </w:rPr>
        <w:t xml:space="preserve"> portanto, deve ser revista pelo analista e complementada com a análise realizada.</w:t>
      </w:r>
    </w:p>
    <w:p w14:paraId="0681D54F" w14:textId="77777777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DE0F045" w14:textId="77777777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96E6639" w14:textId="77777777" w:rsidR="00AC59F4" w:rsidRPr="008C2070" w:rsidRDefault="007338AE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  <w:i/>
        </w:rPr>
      </w:pPr>
      <w:r w:rsidRPr="008C2070">
        <w:rPr>
          <w:rFonts w:ascii="Arial" w:eastAsia="Arial" w:hAnsi="Arial" w:cs="Arial"/>
          <w:i/>
        </w:rPr>
        <w:t>Tratam os presentes autos de</w:t>
      </w:r>
      <w:r w:rsidRPr="008C2070">
        <w:rPr>
          <w:rFonts w:ascii="Arial" w:eastAsia="Arial" w:hAnsi="Arial" w:cs="Arial"/>
          <w:i/>
          <w:color w:val="FF0000"/>
        </w:rPr>
        <w:t xml:space="preserve"> &lt;Relatório de ...., Denúncia, Representação, Tomadas de Contas Especiais, Consulta, Recurso etc..&gt;</w:t>
      </w:r>
      <w:r w:rsidRPr="008C2070">
        <w:rPr>
          <w:rFonts w:ascii="Arial" w:eastAsia="Arial" w:hAnsi="Arial" w:cs="Arial"/>
          <w:i/>
        </w:rPr>
        <w:t xml:space="preserve"> referente </w:t>
      </w:r>
      <w:r w:rsidRPr="008C2070">
        <w:rPr>
          <w:rFonts w:ascii="Arial" w:eastAsia="Arial" w:hAnsi="Arial" w:cs="Arial"/>
          <w:i/>
          <w:color w:val="FF0000"/>
        </w:rPr>
        <w:t>&lt;breve descrição do que trata o processo. Identificar o objeto, o órgão ou entidade responsável&gt;.</w:t>
      </w:r>
    </w:p>
    <w:p w14:paraId="1B548CC6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</w:p>
    <w:p w14:paraId="15A94958" w14:textId="77777777" w:rsidR="00AC59F4" w:rsidRDefault="007338AE">
      <w:pPr>
        <w:numPr>
          <w:ilvl w:val="0"/>
          <w:numId w:val="4"/>
        </w:numPr>
        <w:tabs>
          <w:tab w:val="left" w:pos="129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HISTÓRICO</w:t>
      </w:r>
    </w:p>
    <w:p w14:paraId="1A6F7E67" w14:textId="77777777" w:rsidR="00AC59F4" w:rsidRDefault="00AC59F4">
      <w:pPr>
        <w:tabs>
          <w:tab w:val="left" w:pos="284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</w:p>
    <w:p w14:paraId="1841213D" w14:textId="77777777" w:rsidR="00A731E7" w:rsidRPr="008C2070" w:rsidRDefault="00A731E7" w:rsidP="00A731E7">
      <w:pPr>
        <w:tabs>
          <w:tab w:val="left" w:pos="-5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8C2070">
        <w:rPr>
          <w:rFonts w:ascii="Arial" w:eastAsia="Arial" w:hAnsi="Arial" w:cs="Arial"/>
        </w:rPr>
        <w:t xml:space="preserve">Descrever, sintética e cronologicamente, os principais atos processuais ocorridos até a elaboração desta Instrução, indicando-se os elementos indispensáveis </w:t>
      </w:r>
      <w:proofErr w:type="spellStart"/>
      <w:r w:rsidRPr="008C2070">
        <w:rPr>
          <w:rFonts w:ascii="Arial" w:eastAsia="Arial" w:hAnsi="Arial" w:cs="Arial"/>
        </w:rPr>
        <w:t>á</w:t>
      </w:r>
      <w:proofErr w:type="spellEnd"/>
      <w:r w:rsidRPr="008C2070">
        <w:rPr>
          <w:rFonts w:ascii="Arial" w:eastAsia="Arial" w:hAnsi="Arial" w:cs="Arial"/>
        </w:rPr>
        <w:t xml:space="preserve"> sua identificação, como datas, locais, interessados/responsáveis, e quaisquer outras informações relevantes para compreensão do que se trata o processo, devendo-se sempre referenciar as informações relatadas no histórico com o respectivo evento processual em que se encontram, utilizando-se  a notação “evento-página” com a seguinte formatação: (evento 00, p. 00).</w:t>
      </w:r>
    </w:p>
    <w:p w14:paraId="15A4F0E3" w14:textId="77777777" w:rsidR="00A731E7" w:rsidRDefault="00A731E7">
      <w:pPr>
        <w:tabs>
          <w:tab w:val="left" w:pos="-5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3B9F221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3F8AC8A2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</w:t>
      </w:r>
      <w:r>
        <w:rPr>
          <w:rFonts w:ascii="Arial" w:eastAsia="Arial" w:hAnsi="Arial" w:cs="Arial"/>
          <w:b/>
          <w:u w:val="single"/>
        </w:rPr>
        <w:t>análise de contraditório</w:t>
      </w:r>
      <w:r>
        <w:rPr>
          <w:rFonts w:ascii="Arial" w:eastAsia="Arial" w:hAnsi="Arial" w:cs="Arial"/>
        </w:rPr>
        <w:t>, as informações podem ser organizadas por meio do seguinte quadro:</w:t>
      </w:r>
    </w:p>
    <w:p w14:paraId="4A3FD760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sdt>
      <w:sdtPr>
        <w:tag w:val="goog_rdk_0"/>
        <w:id w:val="2038702464"/>
        <w:lock w:val="contentLocked"/>
      </w:sdtPr>
      <w:sdtEndPr/>
      <w:sdtContent>
        <w:tbl>
          <w:tblPr>
            <w:tblStyle w:val="a"/>
            <w:tblW w:w="8612" w:type="dxa"/>
            <w:tblInd w:w="-108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153"/>
            <w:gridCol w:w="2153"/>
            <w:gridCol w:w="2153"/>
            <w:gridCol w:w="2153"/>
          </w:tblGrid>
          <w:tr w:rsidR="00AC59F4" w14:paraId="5098BC69" w14:textId="77777777">
            <w:trPr>
              <w:trHeight w:val="464"/>
            </w:trPr>
            <w:tc>
              <w:tcPr>
                <w:tcW w:w="2153" w:type="dxa"/>
                <w:vMerge w:val="restart"/>
                <w:vAlign w:val="center"/>
              </w:tcPr>
              <w:p w14:paraId="0E3666A1" w14:textId="77777777" w:rsidR="00AC59F4" w:rsidRDefault="007338AE">
                <w:pPr>
                  <w:ind w:left="-99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ITEM DO RELATÓRIO*</w:t>
                </w:r>
              </w:p>
            </w:tc>
            <w:tc>
              <w:tcPr>
                <w:tcW w:w="2153" w:type="dxa"/>
                <w:vMerge w:val="restart"/>
                <w:vAlign w:val="center"/>
              </w:tcPr>
              <w:p w14:paraId="580BDF6A" w14:textId="77777777" w:rsidR="00AC59F4" w:rsidRDefault="007338AE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NOME DO RESPONSÁVEL</w:t>
                </w:r>
              </w:p>
            </w:tc>
            <w:tc>
              <w:tcPr>
                <w:tcW w:w="2153" w:type="dxa"/>
                <w:vMerge w:val="restart"/>
                <w:vAlign w:val="center"/>
              </w:tcPr>
              <w:p w14:paraId="5A86D6CC" w14:textId="77777777" w:rsidR="00AC59F4" w:rsidRDefault="00AC59F4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  <w:p w14:paraId="01EB4287" w14:textId="77777777" w:rsidR="00AC59F4" w:rsidRDefault="007338A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CARGO </w:t>
                </w:r>
              </w:p>
              <w:p w14:paraId="3963F688" w14:textId="77777777" w:rsidR="00AC59F4" w:rsidRDefault="00AC59F4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  <w:highlight w:val="red"/>
                  </w:rPr>
                </w:pPr>
              </w:p>
            </w:tc>
            <w:tc>
              <w:tcPr>
                <w:tcW w:w="2153" w:type="dxa"/>
                <w:vMerge w:val="restart"/>
              </w:tcPr>
              <w:p w14:paraId="4AF58FCE" w14:textId="77777777" w:rsidR="00AC59F4" w:rsidRDefault="00AC59F4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  <w:p w14:paraId="499ABEDB" w14:textId="77777777" w:rsidR="00AC59F4" w:rsidRDefault="007338A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Evento / Pág.</w:t>
                </w:r>
              </w:p>
            </w:tc>
          </w:tr>
          <w:tr w:rsidR="00AC59F4" w14:paraId="290B83AF" w14:textId="77777777">
            <w:trPr>
              <w:trHeight w:val="491"/>
            </w:trPr>
            <w:tc>
              <w:tcPr>
                <w:tcW w:w="2153" w:type="dxa"/>
                <w:vMerge/>
                <w:vAlign w:val="center"/>
              </w:tcPr>
              <w:p w14:paraId="0E80F4B8" w14:textId="77777777" w:rsidR="00AC59F4" w:rsidRDefault="00AC59F4">
                <w:pPr>
                  <w:widowControl w:val="0"/>
                  <w:rPr>
                    <w:rFonts w:ascii="Arial" w:eastAsia="Arial" w:hAnsi="Arial" w:cs="Arial"/>
                    <w:b/>
                  </w:rPr>
                </w:pPr>
              </w:p>
            </w:tc>
            <w:tc>
              <w:tcPr>
                <w:tcW w:w="2153" w:type="dxa"/>
                <w:vMerge/>
                <w:vAlign w:val="center"/>
              </w:tcPr>
              <w:p w14:paraId="0438F1E4" w14:textId="77777777" w:rsidR="00AC59F4" w:rsidRDefault="00AC59F4">
                <w:pPr>
                  <w:widowControl w:val="0"/>
                  <w:rPr>
                    <w:rFonts w:ascii="Arial" w:eastAsia="Arial" w:hAnsi="Arial" w:cs="Arial"/>
                    <w:b/>
                  </w:rPr>
                </w:pPr>
              </w:p>
            </w:tc>
            <w:tc>
              <w:tcPr>
                <w:tcW w:w="2153" w:type="dxa"/>
                <w:vMerge/>
                <w:vAlign w:val="center"/>
              </w:tcPr>
              <w:p w14:paraId="17A47067" w14:textId="77777777" w:rsidR="00AC59F4" w:rsidRDefault="00AC59F4">
                <w:pPr>
                  <w:widowControl w:val="0"/>
                  <w:rPr>
                    <w:rFonts w:ascii="Arial" w:eastAsia="Arial" w:hAnsi="Arial" w:cs="Arial"/>
                    <w:b/>
                  </w:rPr>
                </w:pPr>
              </w:p>
            </w:tc>
            <w:tc>
              <w:tcPr>
                <w:tcW w:w="2153" w:type="dxa"/>
                <w:vMerge/>
              </w:tcPr>
              <w:p w14:paraId="1A78D837" w14:textId="77777777" w:rsidR="00AC59F4" w:rsidRDefault="00AC59F4">
                <w:pPr>
                  <w:widowControl w:val="0"/>
                  <w:rPr>
                    <w:rFonts w:ascii="Arial" w:eastAsia="Arial" w:hAnsi="Arial" w:cs="Arial"/>
                    <w:b/>
                  </w:rPr>
                </w:pPr>
              </w:p>
            </w:tc>
          </w:tr>
          <w:tr w:rsidR="00AC59F4" w14:paraId="1CB3FBA7" w14:textId="77777777">
            <w:trPr>
              <w:trHeight w:val="528"/>
            </w:trPr>
            <w:tc>
              <w:tcPr>
                <w:tcW w:w="2153" w:type="dxa"/>
              </w:tcPr>
              <w:p w14:paraId="39C791EA" w14:textId="77777777" w:rsidR="00AC59F4" w:rsidRDefault="00AC59F4">
                <w:pPr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2153" w:type="dxa"/>
              </w:tcPr>
              <w:p w14:paraId="38358078" w14:textId="77777777" w:rsidR="00AC59F4" w:rsidRDefault="00AC59F4">
                <w:pPr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2153" w:type="dxa"/>
              </w:tcPr>
              <w:p w14:paraId="778E59DA" w14:textId="77777777" w:rsidR="00AC59F4" w:rsidRDefault="007338AE">
                <w:pPr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&lt;informar cargo e se é atual responsável ou somente à época&gt; </w:t>
                </w:r>
              </w:p>
            </w:tc>
            <w:tc>
              <w:tcPr>
                <w:tcW w:w="2153" w:type="dxa"/>
              </w:tcPr>
              <w:p w14:paraId="2B19ED5E" w14:textId="77777777" w:rsidR="00AC59F4" w:rsidRDefault="00C21E94">
                <w:pPr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c>
          </w:tr>
        </w:tbl>
      </w:sdtContent>
    </w:sdt>
    <w:p w14:paraId="3FC9FA9A" w14:textId="77777777" w:rsidR="00AC59F4" w:rsidRDefault="007338AE">
      <w:pPr>
        <w:spacing w:after="0" w:line="240" w:lineRule="auto"/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* Numeração dos itens dos achados/irregularidades constantes do relatório </w:t>
      </w:r>
      <w:r>
        <w:rPr>
          <w:rFonts w:ascii="Arial" w:eastAsia="Arial" w:hAnsi="Arial" w:cs="Arial"/>
          <w:color w:val="FF0000"/>
          <w:sz w:val="20"/>
          <w:szCs w:val="20"/>
        </w:rPr>
        <w:t>&lt;se houver&gt;</w:t>
      </w:r>
    </w:p>
    <w:p w14:paraId="429FC3FB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  <w:color w:val="FF0000"/>
          <w:highlight w:val="lightGray"/>
        </w:rPr>
      </w:pPr>
    </w:p>
    <w:p w14:paraId="062E4C74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também houver </w:t>
      </w:r>
      <w:r>
        <w:rPr>
          <w:rFonts w:ascii="Arial" w:eastAsia="Arial" w:hAnsi="Arial" w:cs="Arial"/>
          <w:b/>
          <w:u w:val="single"/>
        </w:rPr>
        <w:t>manifestação de interessados não citados</w:t>
      </w:r>
      <w:r>
        <w:rPr>
          <w:rFonts w:ascii="Arial" w:eastAsia="Arial" w:hAnsi="Arial" w:cs="Arial"/>
        </w:rPr>
        <w:t xml:space="preserve">, sugere-se organizar a informação do mesmo modo, em quadro similar, de forma apartada. </w:t>
      </w:r>
    </w:p>
    <w:p w14:paraId="3937B091" w14:textId="77777777" w:rsidR="00A425C0" w:rsidRDefault="00A425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287D8DE2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73B8DD75" w14:textId="77777777" w:rsidR="00AC59F4" w:rsidRDefault="007338AE">
      <w:pPr>
        <w:numPr>
          <w:ilvl w:val="0"/>
          <w:numId w:val="4"/>
        </w:numPr>
        <w:tabs>
          <w:tab w:val="left" w:pos="129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EXAME DE ADMISSIBILIDADE </w:t>
      </w:r>
    </w:p>
    <w:p w14:paraId="1614C0DA" w14:textId="77777777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5371BAD" w14:textId="77777777" w:rsidR="00A425C0" w:rsidRDefault="00A425C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E2D8355" w14:textId="77777777" w:rsidR="00A425C0" w:rsidRDefault="00F520C2" w:rsidP="00A425C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 w:rsidRPr="00F520C2">
        <w:rPr>
          <w:rFonts w:ascii="Arial" w:eastAsia="Arial" w:hAnsi="Arial" w:cs="Arial"/>
          <w:b/>
        </w:rPr>
        <w:t>Atenção</w:t>
      </w:r>
      <w:r>
        <w:rPr>
          <w:rFonts w:ascii="Arial" w:eastAsia="Arial" w:hAnsi="Arial" w:cs="Arial"/>
        </w:rPr>
        <w:t xml:space="preserve">:  somente nos casos em que </w:t>
      </w:r>
      <w:r w:rsidR="00A425C0">
        <w:rPr>
          <w:rFonts w:ascii="Arial" w:eastAsia="Arial" w:hAnsi="Arial" w:cs="Arial"/>
        </w:rPr>
        <w:t>a primeira análise</w:t>
      </w:r>
      <w:r>
        <w:rPr>
          <w:rFonts w:ascii="Arial" w:eastAsia="Arial" w:hAnsi="Arial" w:cs="Arial"/>
        </w:rPr>
        <w:t xml:space="preserve"> e manifestação</w:t>
      </w:r>
      <w:r w:rsidR="00A425C0">
        <w:rPr>
          <w:rFonts w:ascii="Arial" w:eastAsia="Arial" w:hAnsi="Arial" w:cs="Arial"/>
        </w:rPr>
        <w:t xml:space="preserve"> processual </w:t>
      </w:r>
      <w:r>
        <w:rPr>
          <w:rFonts w:ascii="Arial" w:eastAsia="Arial" w:hAnsi="Arial" w:cs="Arial"/>
        </w:rPr>
        <w:t xml:space="preserve">da Unidade Técnica </w:t>
      </w:r>
      <w:r w:rsidR="00A425C0">
        <w:rPr>
          <w:rFonts w:ascii="Arial" w:eastAsia="Arial" w:hAnsi="Arial" w:cs="Arial"/>
        </w:rPr>
        <w:t xml:space="preserve">apontar, desde logo, para uma solução terminativa, é dizer, para sugestão de: a) não conhecimento da manifestação que deu causa a instauração do processo ou, b) conhecimento da manifestação seguida da improcedência de seu mérito - deve ser </w:t>
      </w:r>
      <w:r>
        <w:rPr>
          <w:rFonts w:ascii="Arial" w:eastAsia="Arial" w:hAnsi="Arial" w:cs="Arial"/>
        </w:rPr>
        <w:t xml:space="preserve">realizado </w:t>
      </w:r>
      <w:r w:rsidR="00A425C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i/>
        </w:rPr>
        <w:t>Exame de Admissibilidade</w:t>
      </w:r>
      <w:r>
        <w:rPr>
          <w:rFonts w:ascii="Arial" w:eastAsia="Arial" w:hAnsi="Arial" w:cs="Arial"/>
        </w:rPr>
        <w:t>” nesta seção 2 d</w:t>
      </w:r>
      <w:r w:rsidR="00A425C0"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</w:rPr>
        <w:t xml:space="preserve"> modelo de Instrução Técnica Conclusiva.</w:t>
      </w:r>
    </w:p>
    <w:p w14:paraId="5314124B" w14:textId="77777777" w:rsidR="00F520C2" w:rsidRDefault="00F520C2" w:rsidP="00A425C0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440EACD9" w14:textId="77777777" w:rsidR="00AC59F4" w:rsidRDefault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Assim ocorrendo, devem ser seguidas as orientações para realização de exame de admissibilidade contidas no modelo de Instrução Técnica “não conclusiva”.</w:t>
      </w:r>
    </w:p>
    <w:p w14:paraId="0209E65D" w14:textId="77777777" w:rsidR="00F520C2" w:rsidRDefault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50D735FB" w14:textId="77777777" w:rsidR="00F520C2" w:rsidRDefault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Entretanto, não sendo caso de primeira manifestação com solução terminativa, deve ser utilizado ou o modelo de Instrução Técnica “não conclusiva”, ou este modelo de Instrução Técnica Conclusiva </w:t>
      </w:r>
      <w:r w:rsidRPr="00F520C2">
        <w:rPr>
          <w:rFonts w:ascii="Arial" w:eastAsia="Arial" w:hAnsi="Arial" w:cs="Arial"/>
          <w:b/>
        </w:rPr>
        <w:t>sem</w:t>
      </w:r>
      <w:r>
        <w:rPr>
          <w:rFonts w:ascii="Arial" w:eastAsia="Arial" w:hAnsi="Arial" w:cs="Arial"/>
        </w:rPr>
        <w:t xml:space="preserve"> esta seção de “</w:t>
      </w:r>
      <w:r>
        <w:rPr>
          <w:rFonts w:ascii="Arial" w:eastAsia="Arial" w:hAnsi="Arial" w:cs="Arial"/>
          <w:i/>
        </w:rPr>
        <w:t>Exame de Admissibilidade</w:t>
      </w:r>
      <w:r>
        <w:rPr>
          <w:rFonts w:ascii="Arial" w:eastAsia="Arial" w:hAnsi="Arial" w:cs="Arial"/>
        </w:rPr>
        <w:t>”, que deverá ser excluída, e as demais seções, renumeradas.</w:t>
      </w:r>
    </w:p>
    <w:p w14:paraId="6B3EC0DD" w14:textId="77777777" w:rsidR="00AC59F4" w:rsidRDefault="00AC59F4">
      <w:pPr>
        <w:spacing w:after="0" w:line="360" w:lineRule="auto"/>
        <w:jc w:val="both"/>
        <w:rPr>
          <w:rFonts w:ascii="Arial" w:eastAsia="Arial" w:hAnsi="Arial" w:cs="Arial"/>
        </w:rPr>
      </w:pPr>
    </w:p>
    <w:p w14:paraId="6179D798" w14:textId="77777777" w:rsidR="00D96E29" w:rsidRDefault="00D96E29" w:rsidP="00D96E29">
      <w:pPr>
        <w:pStyle w:val="western"/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ANÁLISE TÉCNICA</w:t>
      </w:r>
    </w:p>
    <w:p w14:paraId="1A50BF0F" w14:textId="77777777" w:rsidR="00D96E29" w:rsidRDefault="00D96E29" w:rsidP="00D96E29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</w:p>
    <w:p w14:paraId="26BE57F3" w14:textId="5A466934" w:rsidR="00D96E29" w:rsidRDefault="00D96E29" w:rsidP="00D96E29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análise técnica deve ser clara, objetiva e baseada em normas, regulamentações e boas práticas aplicáveis, e sempre que cabível, se orientar pel</w:t>
      </w:r>
      <w:r w:rsidR="008C2070">
        <w:rPr>
          <w:rFonts w:ascii="Arial" w:eastAsia="Arial" w:hAnsi="Arial" w:cs="Arial"/>
        </w:rPr>
        <w:t>os procedimentos e instruções de trabalho</w:t>
      </w:r>
      <w:r>
        <w:rPr>
          <w:rFonts w:ascii="Arial" w:eastAsia="Arial" w:hAnsi="Arial" w:cs="Arial"/>
        </w:rPr>
        <w:t xml:space="preserve"> </w:t>
      </w:r>
      <w:r w:rsidR="008C2070">
        <w:rPr>
          <w:rFonts w:ascii="Arial" w:eastAsia="Arial" w:hAnsi="Arial" w:cs="Arial"/>
        </w:rPr>
        <w:t>porventura</w:t>
      </w:r>
      <w:r>
        <w:rPr>
          <w:rFonts w:ascii="Arial" w:eastAsia="Arial" w:hAnsi="Arial" w:cs="Arial"/>
        </w:rPr>
        <w:t xml:space="preserve"> existentes que definem ou orientam os contornos da análise para objetos específicos. </w:t>
      </w:r>
    </w:p>
    <w:p w14:paraId="6F40D346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4F62801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Também deve detalhar o que foi avaliado, bem como os parâmetros normativos, documentais, jurisprudenciais, teóricos e técnicos utilizados para a análise, apontando as possíveis irregularidades detectadas, e os respectivos responsáveis.</w:t>
      </w:r>
    </w:p>
    <w:p w14:paraId="126986B5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75618725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Para prevenir nulidades, e resguardar os padrões de qualidade, deve-se adotar refinado cuidado na identificação de responsáveis e interessados. Em processos que veiculem </w:t>
      </w:r>
      <w:r w:rsidRPr="00382201">
        <w:rPr>
          <w:rFonts w:ascii="Arial" w:eastAsia="Arial" w:hAnsi="Arial" w:cs="Arial"/>
          <w:u w:val="single"/>
        </w:rPr>
        <w:t>recursos e consultas</w:t>
      </w:r>
      <w:r>
        <w:rPr>
          <w:rFonts w:ascii="Arial" w:eastAsia="Arial" w:hAnsi="Arial" w:cs="Arial"/>
        </w:rPr>
        <w:t xml:space="preserve">, a análise deve atentar para o teor dos pedidos formulados. </w:t>
      </w:r>
    </w:p>
    <w:p w14:paraId="398A9BE4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158B40A3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Importante destacar que, </w:t>
      </w:r>
      <w:r w:rsidRPr="00382201">
        <w:rPr>
          <w:rFonts w:ascii="Arial" w:eastAsia="Arial" w:hAnsi="Arial" w:cs="Arial"/>
          <w:u w:val="single"/>
        </w:rPr>
        <w:t>em denúncias e representações</w:t>
      </w:r>
      <w:r>
        <w:rPr>
          <w:rFonts w:ascii="Arial" w:eastAsia="Arial" w:hAnsi="Arial" w:cs="Arial"/>
        </w:rPr>
        <w:t>, a análise realizada não está restrita aos limites e aos termos do que foi formulado na manifestação inicial, tendo em vista as competências previstas no art. 1º da LOTCE-GO e o interesse público envolvido. Portanto, n</w:t>
      </w:r>
      <w:r w:rsidRPr="00382201">
        <w:rPr>
          <w:rFonts w:ascii="Arial" w:eastAsia="Arial" w:hAnsi="Arial" w:cs="Arial"/>
        </w:rPr>
        <w:t>ão há obrigatoriedade de abertura de novo processo para apuração de fatos que se</w:t>
      </w:r>
      <w:r>
        <w:rPr>
          <w:rFonts w:ascii="Arial" w:eastAsia="Arial" w:hAnsi="Arial" w:cs="Arial"/>
        </w:rPr>
        <w:t xml:space="preserve"> </w:t>
      </w:r>
      <w:r w:rsidRPr="00382201">
        <w:rPr>
          <w:rFonts w:ascii="Arial" w:eastAsia="Arial" w:hAnsi="Arial" w:cs="Arial"/>
        </w:rPr>
        <w:t>sobressaiam ao objeto definido no início da apuração de uma representação e/ou denúncia</w:t>
      </w:r>
      <w:r>
        <w:rPr>
          <w:rFonts w:ascii="Arial" w:eastAsia="Arial" w:hAnsi="Arial" w:cs="Arial"/>
        </w:rPr>
        <w:t>.</w:t>
      </w:r>
    </w:p>
    <w:p w14:paraId="1A3B79A5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76B66CE7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Deve-se primar por uma construção textual lógica e coesa, assegurando-se redação clara e objetiva, de modo a permitir, com facilidade, a compreensão da análise e das diligências propostas pelo julgador e demais interessado. Por fim, é fundamental verificar a observância dos prazos legais para evitar quaisquer nulidades ou intempestividades.</w:t>
      </w:r>
    </w:p>
    <w:p w14:paraId="4F7CE270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0507BABB" w14:textId="77777777" w:rsidR="00F520C2" w:rsidRDefault="00F520C2" w:rsidP="00F520C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 especificações de formatação de texto, tabelas e demais normas de elaboração de documentos previstas no </w:t>
      </w:r>
      <w:hyperlink r:id="rId8">
        <w:r>
          <w:rPr>
            <w:rFonts w:ascii="Arial" w:eastAsia="Arial" w:hAnsi="Arial" w:cs="Arial"/>
            <w:color w:val="1155CC"/>
            <w:u w:val="single"/>
          </w:rPr>
          <w:t>Manual de Especificação e Padronização Documental</w:t>
        </w:r>
      </w:hyperlink>
      <w:r>
        <w:rPr>
          <w:rFonts w:ascii="Arial" w:eastAsia="Arial" w:hAnsi="Arial" w:cs="Arial"/>
        </w:rPr>
        <w:t xml:space="preserve"> devem ser sempre observadas.</w:t>
      </w:r>
    </w:p>
    <w:p w14:paraId="14935BD2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</w:rPr>
      </w:pPr>
    </w:p>
    <w:p w14:paraId="7436507E" w14:textId="77777777" w:rsidR="00AC59F4" w:rsidRDefault="007338AE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Nos casos de análise de contraditório, sugere-se a seguinte estrutura:</w:t>
      </w:r>
    </w:p>
    <w:p w14:paraId="62BADD5E" w14:textId="77777777" w:rsidR="00AC59F4" w:rsidRDefault="00AC59F4">
      <w:pPr>
        <w:tabs>
          <w:tab w:val="left" w:pos="284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</w:p>
    <w:p w14:paraId="35CB590F" w14:textId="77777777" w:rsidR="00AC59F4" w:rsidRDefault="007338AE">
      <w:pPr>
        <w:tabs>
          <w:tab w:val="left" w:pos="284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3.1 - Análise das razões de justificativa/alegações de defesa </w:t>
      </w:r>
    </w:p>
    <w:p w14:paraId="55245C3B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1110"/>
        <w:jc w:val="both"/>
        <w:rPr>
          <w:rFonts w:ascii="Arial" w:eastAsia="Arial" w:hAnsi="Arial" w:cs="Arial"/>
          <w:b/>
          <w:i/>
        </w:rPr>
      </w:pPr>
    </w:p>
    <w:p w14:paraId="6EF31DB8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3.1.1  –</w:t>
      </w:r>
      <w:proofErr w:type="gramEnd"/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Descrever o achado exatamente como foi descrito no relatório</w:t>
      </w:r>
      <w:r w:rsidR="00D96E29">
        <w:rPr>
          <w:rFonts w:ascii="Arial" w:eastAsia="Arial" w:hAnsi="Arial" w:cs="Arial"/>
        </w:rPr>
        <w:t xml:space="preserve"> ou instrução técnica</w:t>
      </w:r>
      <w:r>
        <w:rPr>
          <w:rFonts w:ascii="Arial" w:eastAsia="Arial" w:hAnsi="Arial" w:cs="Arial"/>
        </w:rPr>
        <w:t xml:space="preserve"> para que não haja dúvida sobre  a irregularidade que está sendo abordada.</w:t>
      </w:r>
      <w:r>
        <w:rPr>
          <w:rFonts w:ascii="Arial" w:eastAsia="Arial" w:hAnsi="Arial" w:cs="Arial"/>
          <w:b/>
        </w:rPr>
        <w:t xml:space="preserve"> </w:t>
      </w:r>
    </w:p>
    <w:p w14:paraId="7FC81752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eastAsia="Arial" w:hAnsi="Arial" w:cs="Arial"/>
          <w:b/>
        </w:rPr>
      </w:pPr>
    </w:p>
    <w:p w14:paraId="3A33B22E" w14:textId="77777777" w:rsidR="00AC59F4" w:rsidRDefault="007338A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– Responsável: </w:t>
      </w:r>
      <w:r w:rsidR="00D96E29">
        <w:rPr>
          <w:rFonts w:ascii="Arial" w:eastAsia="Arial" w:hAnsi="Arial" w:cs="Arial"/>
        </w:rPr>
        <w:t>é o agente que foi citado para responder a irregularidade descrita. Deve ser</w:t>
      </w:r>
      <w:r>
        <w:rPr>
          <w:rFonts w:ascii="Arial" w:eastAsia="Arial" w:hAnsi="Arial" w:cs="Arial"/>
        </w:rPr>
        <w:t xml:space="preserve"> identifica</w:t>
      </w:r>
      <w:r w:rsidR="00D96E29">
        <w:rPr>
          <w:rFonts w:ascii="Arial" w:eastAsia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 w:rsidR="00D96E29">
        <w:rPr>
          <w:rFonts w:ascii="Arial" w:eastAsia="Arial" w:hAnsi="Arial" w:cs="Arial"/>
        </w:rPr>
        <w:t>com, pelo menos,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u w:val="single"/>
        </w:rPr>
        <w:t>nome</w:t>
      </w:r>
      <w:r>
        <w:rPr>
          <w:rFonts w:ascii="Arial" w:eastAsia="Arial" w:hAnsi="Arial" w:cs="Arial"/>
        </w:rPr>
        <w:t xml:space="preserve"> completo</w:t>
      </w:r>
      <w:r w:rsidR="00D96E29">
        <w:rPr>
          <w:rFonts w:ascii="Arial" w:eastAsia="Arial" w:hAnsi="Arial" w:cs="Arial"/>
        </w:rPr>
        <w:t xml:space="preserve"> 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u w:val="single"/>
        </w:rPr>
        <w:t>cargo</w:t>
      </w:r>
      <w:r>
        <w:rPr>
          <w:rFonts w:ascii="Arial" w:eastAsia="Arial" w:hAnsi="Arial" w:cs="Arial"/>
        </w:rPr>
        <w:t xml:space="preserve"> ou função à época da ocorrência dos atos e/ou ações sob análise.</w:t>
      </w:r>
    </w:p>
    <w:p w14:paraId="6C475F42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</w:rPr>
      </w:pPr>
    </w:p>
    <w:p w14:paraId="091E4AEF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– Razões de justificativa/alegações defesa - </w:t>
      </w:r>
      <w:r>
        <w:rPr>
          <w:rFonts w:ascii="Arial" w:eastAsia="Arial" w:hAnsi="Arial" w:cs="Arial"/>
        </w:rPr>
        <w:t xml:space="preserve">Fazer uma síntese dos argumentos </w:t>
      </w:r>
      <w:r w:rsidR="00D96E29">
        <w:rPr>
          <w:rFonts w:ascii="Arial" w:eastAsia="Arial" w:hAnsi="Arial" w:cs="Arial"/>
        </w:rPr>
        <w:t>apresentados na fase de</w:t>
      </w:r>
      <w:r>
        <w:rPr>
          <w:rFonts w:ascii="Arial" w:eastAsia="Arial" w:hAnsi="Arial" w:cs="Arial"/>
        </w:rPr>
        <w:t xml:space="preserve"> contraditório pelo agente</w:t>
      </w:r>
      <w:r w:rsidR="00D96E29">
        <w:rPr>
          <w:rFonts w:ascii="Arial" w:eastAsia="Arial" w:hAnsi="Arial" w:cs="Arial"/>
        </w:rPr>
        <w:t>/</w:t>
      </w:r>
      <w:r>
        <w:rPr>
          <w:rFonts w:ascii="Arial" w:eastAsia="Arial" w:hAnsi="Arial" w:cs="Arial"/>
        </w:rPr>
        <w:t>responsável citado.</w:t>
      </w:r>
    </w:p>
    <w:p w14:paraId="6A2D7249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6C8654F3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O analista deve ter o cuidado de, dependendo do caso, não reproduzir, na íntegra, o que foi alegado, sob pena de a instrução ser prolixa. Há casos em que as justificativas não acrescentam nenhuma informação significativa para a instrução dos autos, para o esclarecimento das dúvidas levantadas ou para o saneamento das irregularidades apontadas. Por outro lado, não podem ser omitidas as informações relevantes. O analista, portanto, deve exercitar seu poder de análise crítica e de síntese, atentando-se para os fatos e justificativas que mais impactam diretamente na avaliação dos fatos, independentemente de concordar ou não com as alegações.  </w:t>
      </w:r>
    </w:p>
    <w:p w14:paraId="7875E6D5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1110"/>
        <w:jc w:val="both"/>
        <w:rPr>
          <w:rFonts w:ascii="Arial" w:eastAsia="Arial" w:hAnsi="Arial" w:cs="Arial"/>
          <w:b/>
        </w:rPr>
      </w:pPr>
    </w:p>
    <w:p w14:paraId="5E25839F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– Análise: </w:t>
      </w:r>
      <w:r>
        <w:rPr>
          <w:rFonts w:ascii="Arial" w:eastAsia="Arial" w:hAnsi="Arial" w:cs="Arial"/>
          <w:u w:val="single"/>
        </w:rPr>
        <w:t xml:space="preserve">fazer uma análise </w:t>
      </w:r>
      <w:r w:rsidR="00D96E29">
        <w:rPr>
          <w:rFonts w:ascii="Arial" w:eastAsia="Arial" w:hAnsi="Arial" w:cs="Arial"/>
          <w:u w:val="single"/>
        </w:rPr>
        <w:t xml:space="preserve">técnica </w:t>
      </w:r>
      <w:r>
        <w:rPr>
          <w:rFonts w:ascii="Arial" w:eastAsia="Arial" w:hAnsi="Arial" w:cs="Arial"/>
          <w:u w:val="single"/>
        </w:rPr>
        <w:t>minuciosa dos argumentos</w:t>
      </w:r>
      <w:r>
        <w:rPr>
          <w:rFonts w:ascii="Arial" w:eastAsia="Arial" w:hAnsi="Arial" w:cs="Arial"/>
        </w:rPr>
        <w:t xml:space="preserve"> apresentados pelos responsáveis, </w:t>
      </w:r>
      <w:r w:rsidR="00D96E29">
        <w:rPr>
          <w:rFonts w:ascii="Arial" w:eastAsia="Arial" w:hAnsi="Arial" w:cs="Arial"/>
          <w:u w:val="single"/>
        </w:rPr>
        <w:t xml:space="preserve">que deve estar </w:t>
      </w:r>
      <w:r>
        <w:rPr>
          <w:rFonts w:ascii="Arial" w:eastAsia="Arial" w:hAnsi="Arial" w:cs="Arial"/>
          <w:u w:val="single"/>
        </w:rPr>
        <w:t>fundamentada</w:t>
      </w:r>
      <w:r>
        <w:rPr>
          <w:rFonts w:ascii="Arial" w:eastAsia="Arial" w:hAnsi="Arial" w:cs="Arial"/>
        </w:rPr>
        <w:t xml:space="preserve"> quanto à </w:t>
      </w:r>
      <w:r>
        <w:rPr>
          <w:rFonts w:ascii="Arial" w:eastAsia="Arial" w:hAnsi="Arial" w:cs="Arial"/>
          <w:u w:val="single"/>
        </w:rPr>
        <w:t>aceitação</w:t>
      </w:r>
      <w:r>
        <w:rPr>
          <w:rFonts w:ascii="Arial" w:eastAsia="Arial" w:hAnsi="Arial" w:cs="Arial"/>
        </w:rPr>
        <w:t xml:space="preserve"> ou </w:t>
      </w:r>
      <w:r>
        <w:rPr>
          <w:rFonts w:ascii="Arial" w:eastAsia="Arial" w:hAnsi="Arial" w:cs="Arial"/>
          <w:u w:val="single"/>
        </w:rPr>
        <w:t>não</w:t>
      </w:r>
      <w:r>
        <w:rPr>
          <w:rFonts w:ascii="Arial" w:eastAsia="Arial" w:hAnsi="Arial" w:cs="Arial"/>
        </w:rPr>
        <w:t xml:space="preserve"> </w:t>
      </w:r>
      <w:r w:rsidR="00D96E29">
        <w:rPr>
          <w:rFonts w:ascii="Arial" w:eastAsia="Arial" w:hAnsi="Arial" w:cs="Arial"/>
        </w:rPr>
        <w:t>das razões de justificativa ou defesa</w:t>
      </w:r>
      <w:r>
        <w:rPr>
          <w:rFonts w:ascii="Arial" w:eastAsia="Arial" w:hAnsi="Arial" w:cs="Arial"/>
        </w:rPr>
        <w:t xml:space="preserve">. </w:t>
      </w:r>
      <w:r w:rsidR="00D96E29">
        <w:rPr>
          <w:rFonts w:ascii="Arial" w:eastAsia="Arial" w:hAnsi="Arial" w:cs="Arial"/>
        </w:rPr>
        <w:t>A fundamentação deve</w:t>
      </w:r>
      <w:r>
        <w:rPr>
          <w:rFonts w:ascii="Arial" w:eastAsia="Arial" w:hAnsi="Arial" w:cs="Arial"/>
        </w:rPr>
        <w:t xml:space="preserve"> indic</w:t>
      </w:r>
      <w:r w:rsidR="00D96E29">
        <w:rPr>
          <w:rFonts w:ascii="Arial" w:eastAsia="Arial" w:hAnsi="Arial" w:cs="Arial"/>
        </w:rPr>
        <w:t>ar os</w:t>
      </w:r>
      <w:r>
        <w:rPr>
          <w:rFonts w:ascii="Arial" w:eastAsia="Arial" w:hAnsi="Arial" w:cs="Arial"/>
        </w:rPr>
        <w:t xml:space="preserve"> normativos legais, jurisprudência ou doutrina, quando for o caso,</w:t>
      </w:r>
      <w:r w:rsidR="00D96E29">
        <w:rPr>
          <w:rFonts w:ascii="Arial" w:eastAsia="Arial" w:hAnsi="Arial" w:cs="Arial"/>
        </w:rPr>
        <w:t xml:space="preserve"> que amparam a análise, e deve ser descrita</w:t>
      </w:r>
      <w:r>
        <w:rPr>
          <w:rFonts w:ascii="Arial" w:eastAsia="Arial" w:hAnsi="Arial" w:cs="Arial"/>
        </w:rPr>
        <w:t xml:space="preserve"> antes d</w:t>
      </w:r>
      <w:r w:rsidR="00D96E29">
        <w:rPr>
          <w:rFonts w:ascii="Arial" w:eastAsia="Arial" w:hAnsi="Arial" w:cs="Arial"/>
        </w:rPr>
        <w:t>e ser registrada opinião</w:t>
      </w:r>
      <w:r>
        <w:rPr>
          <w:rFonts w:ascii="Arial" w:eastAsia="Arial" w:hAnsi="Arial" w:cs="Arial"/>
        </w:rPr>
        <w:t xml:space="preserve"> mérito </w:t>
      </w:r>
      <w:r w:rsidR="00D96E29">
        <w:rPr>
          <w:rFonts w:ascii="Arial" w:eastAsia="Arial" w:hAnsi="Arial" w:cs="Arial"/>
        </w:rPr>
        <w:t>quanto ao ponto em questão.</w:t>
      </w:r>
    </w:p>
    <w:p w14:paraId="6037498B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i/>
        </w:rPr>
      </w:pPr>
    </w:p>
    <w:p w14:paraId="440D5115" w14:textId="77777777" w:rsidR="00A70DBE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– Sanção</w:t>
      </w:r>
      <w:r>
        <w:rPr>
          <w:rFonts w:ascii="Arial" w:eastAsia="Arial" w:hAnsi="Arial" w:cs="Arial"/>
        </w:rPr>
        <w:t>: não sendo acolhidas as justificativas ou alegações,</w:t>
      </w:r>
      <w:r w:rsidR="00D96E29">
        <w:rPr>
          <w:rFonts w:ascii="Arial" w:eastAsia="Arial" w:hAnsi="Arial" w:cs="Arial"/>
        </w:rPr>
        <w:t xml:space="preserve"> e sendo caso de sanção,</w:t>
      </w:r>
      <w:r>
        <w:rPr>
          <w:rFonts w:ascii="Arial" w:eastAsia="Arial" w:hAnsi="Arial" w:cs="Arial"/>
        </w:rPr>
        <w:t xml:space="preserve"> indicar aqui a </w:t>
      </w:r>
      <w:r>
        <w:rPr>
          <w:rFonts w:ascii="Arial" w:eastAsia="Arial" w:hAnsi="Arial" w:cs="Arial"/>
          <w:u w:val="single"/>
        </w:rPr>
        <w:t>penalidade</w:t>
      </w:r>
      <w:r>
        <w:rPr>
          <w:rFonts w:ascii="Arial" w:eastAsia="Arial" w:hAnsi="Arial" w:cs="Arial"/>
        </w:rPr>
        <w:t xml:space="preserve"> a ser aplicada, observando os </w:t>
      </w:r>
      <w:proofErr w:type="spellStart"/>
      <w:r>
        <w:rPr>
          <w:rFonts w:ascii="Arial" w:eastAsia="Arial" w:hAnsi="Arial" w:cs="Arial"/>
        </w:rPr>
        <w:t>arts</w:t>
      </w:r>
      <w:proofErr w:type="spellEnd"/>
      <w:r>
        <w:rPr>
          <w:rFonts w:ascii="Arial" w:eastAsia="Arial" w:hAnsi="Arial" w:cs="Arial"/>
        </w:rPr>
        <w:t xml:space="preserve">. 111 a 115 da LOTCE c/c </w:t>
      </w:r>
      <w:proofErr w:type="spellStart"/>
      <w:r>
        <w:rPr>
          <w:rFonts w:ascii="Arial" w:eastAsia="Arial" w:hAnsi="Arial" w:cs="Arial"/>
        </w:rPr>
        <w:t>arts</w:t>
      </w:r>
      <w:proofErr w:type="spellEnd"/>
      <w:r>
        <w:rPr>
          <w:rFonts w:ascii="Arial" w:eastAsia="Arial" w:hAnsi="Arial" w:cs="Arial"/>
        </w:rPr>
        <w:t xml:space="preserve">. 312 a 321 do RITCE, </w:t>
      </w:r>
      <w:r w:rsidR="00A70DBE">
        <w:rPr>
          <w:rFonts w:ascii="Arial" w:eastAsia="Arial" w:hAnsi="Arial" w:cs="Arial"/>
        </w:rPr>
        <w:t xml:space="preserve">podendo ser </w:t>
      </w:r>
      <w:proofErr w:type="spellStart"/>
      <w:r>
        <w:rPr>
          <w:rFonts w:ascii="Arial" w:eastAsia="Arial" w:hAnsi="Arial" w:cs="Arial"/>
        </w:rPr>
        <w:t>indicand</w:t>
      </w:r>
      <w:r w:rsidR="00A70DBE"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u w:val="single"/>
        </w:rPr>
        <w:t>atenuantes</w:t>
      </w:r>
      <w:r w:rsidR="00A70DBE">
        <w:rPr>
          <w:rFonts w:ascii="Arial" w:eastAsia="Arial" w:hAnsi="Arial" w:cs="Arial"/>
          <w:u w:val="single"/>
        </w:rPr>
        <w:t xml:space="preserve"> ou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u w:val="single"/>
        </w:rPr>
        <w:t>agravantes</w:t>
      </w:r>
      <w:r w:rsidR="00A70DBE">
        <w:rPr>
          <w:rFonts w:ascii="Arial" w:eastAsia="Arial" w:hAnsi="Arial" w:cs="Arial"/>
          <w:u w:val="single"/>
        </w:rPr>
        <w:t>.</w:t>
      </w:r>
      <w:r>
        <w:rPr>
          <w:rFonts w:ascii="Arial" w:eastAsia="Arial" w:hAnsi="Arial" w:cs="Arial"/>
        </w:rPr>
        <w:t xml:space="preserve"> </w:t>
      </w:r>
    </w:p>
    <w:p w14:paraId="4DEC6892" w14:textId="77777777" w:rsidR="00A70DBE" w:rsidRDefault="00A70D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01748FFF" w14:textId="77777777" w:rsidR="00AC59F4" w:rsidRDefault="00A70D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Nas hipóteses em que verificadas</w:t>
      </w:r>
      <w:r w:rsidR="007338AE">
        <w:rPr>
          <w:rFonts w:ascii="Arial" w:eastAsia="Arial" w:hAnsi="Arial" w:cs="Arial"/>
        </w:rPr>
        <w:t xml:space="preserve"> </w:t>
      </w:r>
      <w:r w:rsidR="007338AE">
        <w:rPr>
          <w:rFonts w:ascii="Arial" w:eastAsia="Arial" w:hAnsi="Arial" w:cs="Arial"/>
          <w:u w:val="single"/>
        </w:rPr>
        <w:t>excludentes de ilicitude</w:t>
      </w:r>
      <w:r>
        <w:rPr>
          <w:rFonts w:ascii="Arial" w:eastAsia="Arial" w:hAnsi="Arial" w:cs="Arial"/>
          <w:u w:val="single"/>
        </w:rPr>
        <w:t xml:space="preserve"> ou de culpabilidade</w:t>
      </w:r>
      <w:r w:rsidRPr="00A70DB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devem ser descritas na fundamentação da sugestão pela não aplicação de penalidade.</w:t>
      </w:r>
    </w:p>
    <w:p w14:paraId="6FC4CCC7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6BF0CF66" w14:textId="77777777" w:rsidR="00AC59F4" w:rsidRDefault="007338AE">
      <w:pPr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u w:val="single"/>
        </w:rPr>
        <w:t>OBS.</w:t>
      </w:r>
      <w:r>
        <w:rPr>
          <w:rFonts w:ascii="Arial" w:eastAsia="Arial" w:hAnsi="Arial" w:cs="Arial"/>
        </w:rPr>
        <w:t xml:space="preserve"> Importante lembrar que em determinados casos, pode haver mais de um responsável pela mesma irregularidade, situação em que todos devem ser individualmente identificados e responsabilizados na medida de sua atuação</w:t>
      </w:r>
      <w:r w:rsidR="00A70DBE">
        <w:rPr>
          <w:rFonts w:ascii="Arial" w:eastAsia="Arial" w:hAnsi="Arial" w:cs="Arial"/>
        </w:rPr>
        <w:t>.</w:t>
      </w:r>
    </w:p>
    <w:p w14:paraId="10517105" w14:textId="77777777" w:rsidR="00AC59F4" w:rsidRDefault="00AC59F4">
      <w:pPr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1F699520" w14:textId="77777777" w:rsidR="00AC59F4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3.1.2 – </w:t>
      </w:r>
      <w:r>
        <w:rPr>
          <w:rFonts w:ascii="Arial" w:eastAsia="Arial" w:hAnsi="Arial" w:cs="Arial"/>
        </w:rPr>
        <w:t xml:space="preserve">Descrever os </w:t>
      </w:r>
      <w:r w:rsidR="00A70DBE">
        <w:rPr>
          <w:rFonts w:ascii="Arial" w:eastAsia="Arial" w:hAnsi="Arial" w:cs="Arial"/>
        </w:rPr>
        <w:t xml:space="preserve">demais </w:t>
      </w:r>
      <w:r>
        <w:rPr>
          <w:rFonts w:ascii="Arial" w:eastAsia="Arial" w:hAnsi="Arial" w:cs="Arial"/>
        </w:rPr>
        <w:t>achados</w:t>
      </w:r>
      <w:r w:rsidR="00A70DBE">
        <w:rPr>
          <w:rFonts w:ascii="Arial" w:eastAsia="Arial" w:hAnsi="Arial" w:cs="Arial"/>
        </w:rPr>
        <w:t>/irregularidades</w:t>
      </w:r>
      <w:r>
        <w:rPr>
          <w:rFonts w:ascii="Arial" w:eastAsia="Arial" w:hAnsi="Arial" w:cs="Arial"/>
        </w:rPr>
        <w:t xml:space="preserve"> </w:t>
      </w:r>
      <w:r w:rsidR="00A70DBE">
        <w:rPr>
          <w:rFonts w:ascii="Arial" w:eastAsia="Arial" w:hAnsi="Arial" w:cs="Arial"/>
        </w:rPr>
        <w:t>existentes</w:t>
      </w:r>
      <w:r>
        <w:rPr>
          <w:rFonts w:ascii="Arial" w:eastAsia="Arial" w:hAnsi="Arial" w:cs="Arial"/>
        </w:rPr>
        <w:t xml:space="preserve"> </w:t>
      </w:r>
      <w:r w:rsidR="00A70DBE">
        <w:rPr>
          <w:rFonts w:ascii="Arial" w:eastAsia="Arial" w:hAnsi="Arial" w:cs="Arial"/>
        </w:rPr>
        <w:t>conforme</w:t>
      </w:r>
      <w:r>
        <w:rPr>
          <w:rFonts w:ascii="Arial" w:eastAsia="Arial" w:hAnsi="Arial" w:cs="Arial"/>
        </w:rPr>
        <w:t xml:space="preserve"> a estrutura </w:t>
      </w:r>
      <w:r w:rsidR="00A70DBE">
        <w:rPr>
          <w:rFonts w:ascii="Arial" w:eastAsia="Arial" w:hAnsi="Arial" w:cs="Arial"/>
        </w:rPr>
        <w:t>acima descrita</w:t>
      </w:r>
      <w:r>
        <w:rPr>
          <w:rFonts w:ascii="Arial" w:eastAsia="Arial" w:hAnsi="Arial" w:cs="Arial"/>
        </w:rPr>
        <w:t>.</w:t>
      </w:r>
    </w:p>
    <w:p w14:paraId="308AAAF7" w14:textId="77777777" w:rsidR="00A70DBE" w:rsidRDefault="00A70D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b/>
        </w:rPr>
      </w:pPr>
    </w:p>
    <w:p w14:paraId="52CDA45D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</w:rPr>
      </w:pPr>
    </w:p>
    <w:p w14:paraId="36276D6F" w14:textId="77777777" w:rsidR="00AC59F4" w:rsidRDefault="007338AE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CONCLUSÃO </w:t>
      </w:r>
    </w:p>
    <w:p w14:paraId="219E1983" w14:textId="77777777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4945766E" w14:textId="77777777" w:rsidR="00A70DBE" w:rsidRDefault="00A70DBE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conclusão revela a síntese da opinião técnica do analista, ou equipe, sobre o resultado da análise técnica realizada sobre o objeto, conforme a natureza processual.</w:t>
      </w:r>
    </w:p>
    <w:p w14:paraId="08DD2A83" w14:textId="77777777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27B4A12F" w14:textId="77777777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Esta síntese pode revelar, por exemplo, que determinada manifestação deve ou não ser conhecida, e seu mérito deve ser considerado procedente, parcialmente procedente, ou improcedente.</w:t>
      </w:r>
    </w:p>
    <w:p w14:paraId="57984763" w14:textId="77777777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07F78D77" w14:textId="7688CE42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conclusão também pode descrever a opinião definitiva do analista ou equipe quanto as irregularidades ou achados que foram evidenciados e não foram desconstituídos na fase de contraditório.</w:t>
      </w:r>
      <w:r w:rsidR="00731D68">
        <w:rPr>
          <w:rFonts w:ascii="Arial" w:eastAsia="Arial" w:hAnsi="Arial" w:cs="Arial"/>
        </w:rPr>
        <w:t xml:space="preserve"> A titulo ilustrativo, é comum o uso de formulas textuais como: “(...) conclui-se pela existência de nulidade/ irregularidade/ desconformidade na realização de (...), conduta de responsabilidade dos agentes públicos (e/ou privados) discriminados no quadro a seguir.”</w:t>
      </w:r>
    </w:p>
    <w:p w14:paraId="3EFAC24E" w14:textId="77777777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4FD0D64" w14:textId="418202E1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Independente</w:t>
      </w:r>
      <w:proofErr w:type="spellEnd"/>
      <w:r>
        <w:rPr>
          <w:rFonts w:ascii="Arial" w:eastAsia="Arial" w:hAnsi="Arial" w:cs="Arial"/>
        </w:rPr>
        <w:t xml:space="preserve"> da existência de irregularidades, a opinião conclusiva pode registrar entendimento quanto a existência de oportunidades de melhoria sobre pontos específicos,</w:t>
      </w:r>
      <w:r w:rsidR="00731D68">
        <w:rPr>
          <w:rFonts w:ascii="Arial" w:eastAsia="Arial" w:hAnsi="Arial" w:cs="Arial"/>
        </w:rPr>
        <w:t xml:space="preserve"> como processos e controles internos,</w:t>
      </w:r>
      <w:r>
        <w:rPr>
          <w:rFonts w:ascii="Arial" w:eastAsia="Arial" w:hAnsi="Arial" w:cs="Arial"/>
        </w:rPr>
        <w:t xml:space="preserve"> descrição que também deve ser realizada de maneira sintética e objetiva.</w:t>
      </w:r>
    </w:p>
    <w:p w14:paraId="6AF7941C" w14:textId="77777777" w:rsidR="00BD1D52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36F9EDC2" w14:textId="77777777" w:rsidR="00AC59F4" w:rsidRDefault="00BD1D52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conclusão deve evitar longas descrições procedimentais realizadas na análise técnica, de forma que a opinião técnica conclusiva possa ser rapidamente identificada pelo leitor.</w:t>
      </w:r>
    </w:p>
    <w:p w14:paraId="2D23016C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</w:rPr>
      </w:pPr>
    </w:p>
    <w:p w14:paraId="32FA4CD3" w14:textId="77777777" w:rsidR="00AC59F4" w:rsidRDefault="007338A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Nos casos de análise de contraditório, </w:t>
      </w:r>
      <w:r w:rsidR="00BD1D52">
        <w:rPr>
          <w:rFonts w:ascii="Arial" w:eastAsia="Arial" w:hAnsi="Arial" w:cs="Arial"/>
        </w:rPr>
        <w:t>realizadas</w:t>
      </w:r>
      <w:r>
        <w:rPr>
          <w:rFonts w:ascii="Arial" w:eastAsia="Arial" w:hAnsi="Arial" w:cs="Arial"/>
        </w:rPr>
        <w:t xml:space="preserve"> análises das justificativas trazidas aos autos pelos responsáveis citados, </w:t>
      </w:r>
      <w:r w:rsidR="00BD1D52">
        <w:rPr>
          <w:rFonts w:ascii="Arial" w:eastAsia="Arial" w:hAnsi="Arial" w:cs="Arial"/>
        </w:rPr>
        <w:t>a opinião técnica conclusiva pode ser organizada na forma e estrutura do</w:t>
      </w:r>
      <w:r>
        <w:rPr>
          <w:rFonts w:ascii="Arial" w:eastAsia="Arial" w:hAnsi="Arial" w:cs="Arial"/>
        </w:rPr>
        <w:t xml:space="preserve"> quadro seguinte: </w:t>
      </w:r>
    </w:p>
    <w:p w14:paraId="47620428" w14:textId="77777777" w:rsidR="00AC59F4" w:rsidRDefault="00AC59F4">
      <w:pPr>
        <w:spacing w:after="0" w:line="240" w:lineRule="auto"/>
        <w:jc w:val="both"/>
        <w:rPr>
          <w:rFonts w:ascii="Arial" w:eastAsia="Arial" w:hAnsi="Arial" w:cs="Arial"/>
        </w:rPr>
      </w:pPr>
    </w:p>
    <w:tbl>
      <w:tblPr>
        <w:tblStyle w:val="a0"/>
        <w:tblW w:w="85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4"/>
        <w:gridCol w:w="2835"/>
        <w:gridCol w:w="2835"/>
      </w:tblGrid>
      <w:tr w:rsidR="00AC59F4" w14:paraId="3EC47C0D" w14:textId="77777777">
        <w:tc>
          <w:tcPr>
            <w:tcW w:w="2834" w:type="dxa"/>
          </w:tcPr>
          <w:p w14:paraId="164653A4" w14:textId="77777777" w:rsidR="00AC59F4" w:rsidRDefault="007338A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NOME DO RESPONSÁVEL</w:t>
            </w:r>
          </w:p>
        </w:tc>
        <w:tc>
          <w:tcPr>
            <w:tcW w:w="2834" w:type="dxa"/>
          </w:tcPr>
          <w:p w14:paraId="23037DA4" w14:textId="77777777" w:rsidR="00AC59F4" w:rsidRDefault="007338A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IRREGULARIDADE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pela qual foi citado</w:t>
            </w:r>
            <w:r w:rsidR="00BD1D52">
              <w:rPr>
                <w:rFonts w:ascii="Arial" w:eastAsia="Arial" w:hAnsi="Arial" w:cs="Arial"/>
                <w:sz w:val="20"/>
                <w:szCs w:val="20"/>
              </w:rPr>
              <w:t xml:space="preserve"> – apenas a descrição sintética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)         </w:t>
            </w:r>
          </w:p>
        </w:tc>
        <w:tc>
          <w:tcPr>
            <w:tcW w:w="2834" w:type="dxa"/>
          </w:tcPr>
          <w:p w14:paraId="57F7C5DB" w14:textId="77777777" w:rsidR="00AC59F4" w:rsidRDefault="007338A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JUSTIFICATIVA:</w:t>
            </w:r>
          </w:p>
          <w:p w14:paraId="576E551F" w14:textId="77777777" w:rsidR="00AC59F4" w:rsidRDefault="00AC59F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C59F4" w14:paraId="09EB06A3" w14:textId="77777777">
        <w:tc>
          <w:tcPr>
            <w:tcW w:w="2834" w:type="dxa"/>
            <w:vMerge w:val="restart"/>
          </w:tcPr>
          <w:p w14:paraId="12D7C6E2" w14:textId="77777777" w:rsidR="00AC59F4" w:rsidRDefault="007338A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1- ........................</w:t>
            </w:r>
          </w:p>
        </w:tc>
        <w:tc>
          <w:tcPr>
            <w:tcW w:w="2834" w:type="dxa"/>
          </w:tcPr>
          <w:p w14:paraId="7AF57C81" w14:textId="77777777" w:rsidR="00AC59F4" w:rsidRDefault="007338A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Item XX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-  .......................</w:t>
            </w:r>
            <w:proofErr w:type="gramEnd"/>
          </w:p>
        </w:tc>
        <w:tc>
          <w:tcPr>
            <w:tcW w:w="2834" w:type="dxa"/>
          </w:tcPr>
          <w:p w14:paraId="36B647BE" w14:textId="77777777" w:rsidR="00AC59F4" w:rsidRDefault="007338A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Acolhida</w:t>
            </w:r>
            <w:r w:rsidR="00BD1D52">
              <w:rPr>
                <w:rFonts w:ascii="Arial" w:eastAsia="Arial" w:hAnsi="Arial" w:cs="Arial"/>
                <w:sz w:val="20"/>
                <w:szCs w:val="20"/>
              </w:rPr>
              <w:t>, Parcialmente acolhida ou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Rejeitada</w:t>
            </w:r>
          </w:p>
        </w:tc>
      </w:tr>
      <w:tr w:rsidR="00AC59F4" w14:paraId="2DA6CEBD" w14:textId="77777777">
        <w:tc>
          <w:tcPr>
            <w:tcW w:w="2834" w:type="dxa"/>
            <w:vMerge/>
          </w:tcPr>
          <w:p w14:paraId="186A610D" w14:textId="77777777" w:rsidR="00AC59F4" w:rsidRDefault="00AC59F4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2834" w:type="dxa"/>
          </w:tcPr>
          <w:p w14:paraId="4419EE4A" w14:textId="77777777" w:rsidR="00AC59F4" w:rsidRDefault="007338A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Item XX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-  ................</w:t>
            </w:r>
            <w:proofErr w:type="gramEnd"/>
          </w:p>
        </w:tc>
        <w:tc>
          <w:tcPr>
            <w:tcW w:w="2834" w:type="dxa"/>
          </w:tcPr>
          <w:p w14:paraId="31D75A0F" w14:textId="77777777" w:rsidR="00AC59F4" w:rsidRDefault="00BD1D5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Acolhida, Parcialmente acolhida ou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Rejeitada</w:t>
            </w:r>
          </w:p>
        </w:tc>
      </w:tr>
      <w:tr w:rsidR="00AC59F4" w14:paraId="30749EF5" w14:textId="77777777">
        <w:tc>
          <w:tcPr>
            <w:tcW w:w="2834" w:type="dxa"/>
            <w:vMerge w:val="restart"/>
          </w:tcPr>
          <w:p w14:paraId="7355E19A" w14:textId="77777777" w:rsidR="00AC59F4" w:rsidRDefault="007338A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2- ........................</w:t>
            </w:r>
          </w:p>
        </w:tc>
        <w:tc>
          <w:tcPr>
            <w:tcW w:w="2834" w:type="dxa"/>
          </w:tcPr>
          <w:p w14:paraId="40BCD2F2" w14:textId="77777777" w:rsidR="00AC59F4" w:rsidRDefault="007338A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Item XX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-  ..................</w:t>
            </w:r>
            <w:proofErr w:type="gramEnd"/>
          </w:p>
        </w:tc>
        <w:tc>
          <w:tcPr>
            <w:tcW w:w="2834" w:type="dxa"/>
          </w:tcPr>
          <w:p w14:paraId="26F56D73" w14:textId="77777777" w:rsidR="00AC59F4" w:rsidRDefault="00BD1D5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Acolhida, Parcialmente acolhida ou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Rejeitada</w:t>
            </w:r>
          </w:p>
        </w:tc>
      </w:tr>
      <w:tr w:rsidR="00AC59F4" w14:paraId="2B489B92" w14:textId="77777777">
        <w:tc>
          <w:tcPr>
            <w:tcW w:w="2834" w:type="dxa"/>
            <w:vMerge/>
          </w:tcPr>
          <w:p w14:paraId="0502F01A" w14:textId="77777777" w:rsidR="00AC59F4" w:rsidRDefault="00AC59F4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2834" w:type="dxa"/>
          </w:tcPr>
          <w:p w14:paraId="5CC1D9C7" w14:textId="77777777" w:rsidR="00AC59F4" w:rsidRDefault="007338A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Item XX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-  ...................</w:t>
            </w:r>
            <w:proofErr w:type="gramEnd"/>
          </w:p>
        </w:tc>
        <w:tc>
          <w:tcPr>
            <w:tcW w:w="2834" w:type="dxa"/>
          </w:tcPr>
          <w:p w14:paraId="13CC9A50" w14:textId="77777777" w:rsidR="00AC59F4" w:rsidRDefault="00AC59F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B8505D6" w14:textId="77777777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593D9564" w14:textId="295C6A1B" w:rsidR="00AC59F4" w:rsidRDefault="00AC59F4">
      <w:pPr>
        <w:tabs>
          <w:tab w:val="left" w:pos="1134"/>
        </w:tabs>
        <w:spacing w:after="0" w:line="240" w:lineRule="auto"/>
        <w:ind w:right="-30"/>
        <w:jc w:val="both"/>
        <w:rPr>
          <w:rFonts w:ascii="Arial" w:eastAsia="Arial" w:hAnsi="Arial" w:cs="Arial"/>
        </w:rPr>
      </w:pPr>
    </w:p>
    <w:p w14:paraId="2A991571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b/>
        </w:rPr>
      </w:pPr>
    </w:p>
    <w:p w14:paraId="4DD84A0B" w14:textId="77777777" w:rsidR="00AC59F4" w:rsidRDefault="007338AE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10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PROPOSTA DE ENCAMINHAMENTO </w:t>
      </w:r>
    </w:p>
    <w:p w14:paraId="7D9D7876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b/>
        </w:rPr>
      </w:pPr>
    </w:p>
    <w:p w14:paraId="511B9A2C" w14:textId="0668D575" w:rsidR="00116AE3" w:rsidRDefault="00116AE3" w:rsidP="007338A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 w:rsidRPr="007338AE">
        <w:rPr>
          <w:rFonts w:ascii="Arial" w:eastAsia="Arial" w:hAnsi="Arial" w:cs="Arial"/>
          <w:b/>
        </w:rPr>
        <w:t>Importante</w:t>
      </w:r>
      <w:r>
        <w:rPr>
          <w:rFonts w:ascii="Arial" w:eastAsia="Arial" w:hAnsi="Arial" w:cs="Arial"/>
        </w:rPr>
        <w:t xml:space="preserve">: A proposta de encaminhamento deve ser realizada </w:t>
      </w:r>
      <w:proofErr w:type="spellStart"/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luz da conclusão, e deve descrever as sugestões do analista (ou da equipe) de soluções e providências que podem ser adotadas pelo Relator sobre as irregularidades ou oportunidades de melhoria identificadas.</w:t>
      </w:r>
    </w:p>
    <w:p w14:paraId="262DEF1B" w14:textId="4B3A99ED" w:rsidR="00116AE3" w:rsidRDefault="00116AE3" w:rsidP="007338A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222FFF01" w14:textId="7F361137" w:rsidR="00116AE3" w:rsidRDefault="00116AE3" w:rsidP="007338A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propostas de encaminhamento devem ser construídas tendo-se em mente os limites das competências constitucionais e legais do Tribunal de Contas do Estado de Goiás, sendo desejável que se busque soluções racionais, lógicas e compreensíveis as quais, à luz do que preconiza os artigos 20 a 30 da LINDB, possam resultar em benefícios da ação de controle que sejam de implementação possível, e possam ser monitoradas caso seja assim deliberado.</w:t>
      </w:r>
    </w:p>
    <w:p w14:paraId="1EB5DD19" w14:textId="77777777" w:rsidR="00116AE3" w:rsidRDefault="00116AE3" w:rsidP="007338A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21855AF7" w14:textId="0754088A" w:rsidR="008C2070" w:rsidRDefault="007338AE" w:rsidP="007338A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 w:rsidRPr="008C2070">
        <w:rPr>
          <w:rFonts w:ascii="Arial" w:eastAsia="Arial" w:hAnsi="Arial" w:cs="Arial"/>
          <w:b/>
        </w:rPr>
        <w:t>As propostas de encaminhamento</w:t>
      </w:r>
      <w:r w:rsidR="008C2070" w:rsidRPr="008C2070">
        <w:rPr>
          <w:rFonts w:ascii="Arial" w:eastAsia="Arial" w:hAnsi="Arial" w:cs="Arial"/>
          <w:b/>
        </w:rPr>
        <w:t xml:space="preserve"> devem seguir os padrões estabelecidos pela </w:t>
      </w:r>
      <w:hyperlink r:id="rId9" w:history="1">
        <w:r w:rsidR="008C2070" w:rsidRPr="008C2070">
          <w:rPr>
            <w:rStyle w:val="Hyperlink"/>
            <w:rFonts w:ascii="Arial" w:eastAsia="Arial" w:hAnsi="Arial" w:cs="Arial"/>
            <w:b/>
          </w:rPr>
          <w:t>Resolução Administrativa nº 7/2016</w:t>
        </w:r>
      </w:hyperlink>
      <w:r w:rsidR="008C2070" w:rsidRPr="008C2070">
        <w:rPr>
          <w:rFonts w:ascii="Arial" w:eastAsia="Arial" w:hAnsi="Arial" w:cs="Arial"/>
          <w:b/>
        </w:rPr>
        <w:t>.</w:t>
      </w:r>
      <w:r w:rsidR="008C2070">
        <w:rPr>
          <w:rFonts w:ascii="Arial" w:eastAsia="Arial" w:hAnsi="Arial" w:cs="Arial"/>
        </w:rPr>
        <w:t xml:space="preserve"> Em linhas gerais, as propostas de encaminhamento</w:t>
      </w:r>
      <w:r>
        <w:rPr>
          <w:rFonts w:ascii="Arial" w:eastAsia="Arial" w:hAnsi="Arial" w:cs="Arial"/>
        </w:rPr>
        <w:t xml:space="preserve"> do tipo determinação devem indicar, por regra, os responsáveis e os prazos para a devida implementação do comando. As do tipo recomendação, e ciência, devem indicar, pelo menos, o órgão ou entidade a que se destinam.</w:t>
      </w:r>
      <w:r w:rsidR="008C2070">
        <w:rPr>
          <w:rFonts w:ascii="Arial" w:eastAsia="Arial" w:hAnsi="Arial" w:cs="Arial"/>
        </w:rPr>
        <w:t xml:space="preserve"> </w:t>
      </w:r>
    </w:p>
    <w:p w14:paraId="27F79B52" w14:textId="610E5B8C" w:rsidR="007338AE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7EDB03FD" w14:textId="333503F6" w:rsidR="007338AE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Diante da conclusão exposta, sugere-se ao </w:t>
      </w:r>
      <w:proofErr w:type="spellStart"/>
      <w:r>
        <w:rPr>
          <w:rFonts w:ascii="Arial" w:eastAsia="Arial" w:hAnsi="Arial" w:cs="Arial"/>
        </w:rPr>
        <w:t>Exmo</w:t>
      </w:r>
      <w:proofErr w:type="spellEnd"/>
      <w:r>
        <w:rPr>
          <w:rFonts w:ascii="Arial" w:eastAsia="Arial" w:hAnsi="Arial" w:cs="Arial"/>
        </w:rPr>
        <w:t xml:space="preserve"> Conselheiro Relator que</w:t>
      </w:r>
    </w:p>
    <w:p w14:paraId="4E17F204" w14:textId="77777777" w:rsidR="00AC59F4" w:rsidRDefault="007338A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de uso geral para </w:t>
      </w:r>
      <w:r>
        <w:rPr>
          <w:rFonts w:ascii="Arial" w:eastAsia="Arial" w:hAnsi="Arial" w:cs="Arial"/>
          <w:b/>
          <w:u w:val="single"/>
        </w:rPr>
        <w:t>ciência</w:t>
      </w:r>
      <w:r>
        <w:rPr>
          <w:rFonts w:ascii="Arial" w:eastAsia="Arial" w:hAnsi="Arial" w:cs="Arial"/>
        </w:rPr>
        <w:t xml:space="preserve">: dar ciência ao(s) </w:t>
      </w:r>
      <w:r>
        <w:rPr>
          <w:rFonts w:ascii="Arial" w:eastAsia="Arial" w:hAnsi="Arial" w:cs="Arial"/>
          <w:color w:val="FF0000"/>
        </w:rPr>
        <w:t>&lt;órgão(s)/entidade(s)/unidade(s)&gt;</w:t>
      </w:r>
      <w:r>
        <w:rPr>
          <w:rFonts w:ascii="Arial" w:eastAsia="Arial" w:hAnsi="Arial" w:cs="Arial"/>
        </w:rPr>
        <w:t xml:space="preserve"> sobre </w:t>
      </w:r>
      <w:r>
        <w:rPr>
          <w:rFonts w:ascii="Arial" w:eastAsia="Arial" w:hAnsi="Arial" w:cs="Arial"/>
          <w:color w:val="FF0000"/>
        </w:rPr>
        <w:t>&lt;descrição da impropriedade/falha&gt;</w:t>
      </w:r>
      <w:r>
        <w:rPr>
          <w:rFonts w:ascii="Arial" w:eastAsia="Arial" w:hAnsi="Arial" w:cs="Arial"/>
        </w:rPr>
        <w:t xml:space="preserve">, identificada no </w:t>
      </w:r>
      <w:r>
        <w:rPr>
          <w:rFonts w:ascii="Arial" w:eastAsia="Arial" w:hAnsi="Arial" w:cs="Arial"/>
          <w:color w:val="FF0000"/>
        </w:rPr>
        <w:t>&lt;objeto no qual se verifica a ocorrência&gt;</w:t>
      </w:r>
      <w:r>
        <w:rPr>
          <w:rFonts w:ascii="Arial" w:eastAsia="Arial" w:hAnsi="Arial" w:cs="Arial"/>
        </w:rPr>
        <w:t xml:space="preserve">, o que afronta o disposto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 xml:space="preserve">, com </w:t>
      </w:r>
      <w:r>
        <w:rPr>
          <w:rFonts w:ascii="Arial" w:eastAsia="Arial" w:hAnsi="Arial" w:cs="Arial"/>
        </w:rPr>
        <w:lastRenderedPageBreak/>
        <w:t xml:space="preserve">vistas à adoção de providências internas que previnam a ocorrência de outras semelhantes. </w:t>
      </w:r>
    </w:p>
    <w:p w14:paraId="07AC5A00" w14:textId="77777777" w:rsidR="00AC59F4" w:rsidRDefault="007338A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 Formato para </w:t>
      </w:r>
      <w:proofErr w:type="spellStart"/>
      <w:r>
        <w:rPr>
          <w:rFonts w:ascii="Arial" w:eastAsia="Arial" w:hAnsi="Arial" w:cs="Arial"/>
        </w:rPr>
        <w:t>para</w:t>
      </w:r>
      <w:proofErr w:type="spellEnd"/>
      <w:r>
        <w:rPr>
          <w:rFonts w:ascii="Arial" w:eastAsia="Arial" w:hAnsi="Arial" w:cs="Arial"/>
        </w:rPr>
        <w:t xml:space="preserve"> ciência os casos em que existem mais de uma impropriedade ou falha: dar ciência ao(s) </w:t>
      </w:r>
      <w:r>
        <w:rPr>
          <w:rFonts w:ascii="Arial" w:eastAsia="Arial" w:hAnsi="Arial" w:cs="Arial"/>
          <w:color w:val="FF0000"/>
        </w:rPr>
        <w:t>&lt;órgão(s)/entidade(s)/unidade(s)&gt;</w:t>
      </w:r>
      <w:r>
        <w:rPr>
          <w:rFonts w:ascii="Arial" w:eastAsia="Arial" w:hAnsi="Arial" w:cs="Arial"/>
        </w:rPr>
        <w:t xml:space="preserve"> sobre as seguintes impropriedades/falhas, para que sejam adotadas medidas internas com vistas à prevenção de ocorrência de outras semelhantes: </w:t>
      </w:r>
    </w:p>
    <w:p w14:paraId="7A055D9B" w14:textId="77777777" w:rsidR="00AC59F4" w:rsidRDefault="007338A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right="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da impropriedade A&gt;</w:t>
      </w:r>
      <w:r>
        <w:rPr>
          <w:rFonts w:ascii="Arial" w:eastAsia="Arial" w:hAnsi="Arial" w:cs="Arial"/>
        </w:rPr>
        <w:t xml:space="preserve">, identificada no </w:t>
      </w:r>
      <w:r>
        <w:rPr>
          <w:rFonts w:ascii="Arial" w:eastAsia="Arial" w:hAnsi="Arial" w:cs="Arial"/>
          <w:color w:val="FF0000"/>
        </w:rPr>
        <w:t>&lt;objeto no qual se verifica a ocorrência&gt;</w:t>
      </w:r>
      <w:r>
        <w:rPr>
          <w:rFonts w:ascii="Arial" w:eastAsia="Arial" w:hAnsi="Arial" w:cs="Arial"/>
        </w:rPr>
        <w:t xml:space="preserve">, o que afronta o disposto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 xml:space="preserve">; e </w:t>
      </w:r>
    </w:p>
    <w:p w14:paraId="3AE4F892" w14:textId="77777777" w:rsidR="00AC59F4" w:rsidRDefault="007338A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right="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da impropriedade B&gt;</w:t>
      </w:r>
      <w:r>
        <w:rPr>
          <w:rFonts w:ascii="Arial" w:eastAsia="Arial" w:hAnsi="Arial" w:cs="Arial"/>
        </w:rPr>
        <w:t xml:space="preserve">, identificada no </w:t>
      </w:r>
      <w:r>
        <w:rPr>
          <w:rFonts w:ascii="Arial" w:eastAsia="Arial" w:hAnsi="Arial" w:cs="Arial"/>
          <w:color w:val="FF0000"/>
        </w:rPr>
        <w:t>&lt;objeto no qual se verifica a ocorrência&gt;</w:t>
      </w:r>
      <w:r>
        <w:rPr>
          <w:rFonts w:ascii="Arial" w:eastAsia="Arial" w:hAnsi="Arial" w:cs="Arial"/>
        </w:rPr>
        <w:t xml:space="preserve">, o que afronta o disposto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>;</w:t>
      </w:r>
    </w:p>
    <w:p w14:paraId="7D20DD37" w14:textId="77777777" w:rsidR="00AC59F4" w:rsidRDefault="007338A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de uso geral para </w:t>
      </w:r>
      <w:r>
        <w:rPr>
          <w:rFonts w:ascii="Arial" w:eastAsia="Arial" w:hAnsi="Arial" w:cs="Arial"/>
          <w:b/>
          <w:u w:val="single"/>
        </w:rPr>
        <w:t>recomendações</w:t>
      </w:r>
      <w:r>
        <w:rPr>
          <w:rFonts w:ascii="Arial" w:eastAsia="Arial" w:hAnsi="Arial" w:cs="Arial"/>
        </w:rPr>
        <w:t xml:space="preserve">: recomendar ao(s) </w:t>
      </w:r>
      <w:r>
        <w:rPr>
          <w:rFonts w:ascii="Arial" w:eastAsia="Arial" w:hAnsi="Arial" w:cs="Arial"/>
          <w:color w:val="FF0000"/>
        </w:rPr>
        <w:t>&lt;órgão(s)/entidade(s)/unidade(s)&gt;</w:t>
      </w:r>
      <w:r>
        <w:rPr>
          <w:rFonts w:ascii="Arial" w:eastAsia="Arial" w:hAnsi="Arial" w:cs="Arial"/>
        </w:rPr>
        <w:t xml:space="preserve">, com fundamento no art. 250, III, do Regimento Interno do Tribunal de Contas, que avalie(m) a conveniência e a oportunidade de </w:t>
      </w:r>
      <w:r>
        <w:rPr>
          <w:rFonts w:ascii="Arial" w:eastAsia="Arial" w:hAnsi="Arial" w:cs="Arial"/>
          <w:color w:val="FF0000"/>
        </w:rPr>
        <w:t>&lt;descrição da proposta de melhoria&gt;</w:t>
      </w:r>
      <w:r>
        <w:rPr>
          <w:rFonts w:ascii="Arial" w:eastAsia="Arial" w:hAnsi="Arial" w:cs="Arial"/>
        </w:rPr>
        <w:t xml:space="preserve"> com vistas a </w:t>
      </w:r>
      <w:r>
        <w:rPr>
          <w:rFonts w:ascii="Arial" w:eastAsia="Arial" w:hAnsi="Arial" w:cs="Arial"/>
          <w:color w:val="FF0000"/>
        </w:rPr>
        <w:t>&lt;melhoria/aperfeiçoamento esperado&gt;</w:t>
      </w:r>
      <w:r>
        <w:rPr>
          <w:rFonts w:ascii="Arial" w:eastAsia="Arial" w:hAnsi="Arial" w:cs="Arial"/>
        </w:rPr>
        <w:t xml:space="preserve">. </w:t>
      </w:r>
    </w:p>
    <w:p w14:paraId="70D3818F" w14:textId="77777777" w:rsidR="00AC59F4" w:rsidRDefault="007338A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para os casos em que existem mais de uma recomendação:  recomendar ao(s) </w:t>
      </w:r>
      <w:r>
        <w:rPr>
          <w:rFonts w:ascii="Arial" w:eastAsia="Arial" w:hAnsi="Arial" w:cs="Arial"/>
          <w:color w:val="FF0000"/>
        </w:rPr>
        <w:t>&lt;órgão(s)/entidade(s)/unidade(s)&gt;</w:t>
      </w:r>
      <w:r>
        <w:rPr>
          <w:rFonts w:ascii="Arial" w:eastAsia="Arial" w:hAnsi="Arial" w:cs="Arial"/>
        </w:rPr>
        <w:t xml:space="preserve">, com fundamento no art. 258, III, do Regimento Interno do Tribunal de Contas, que avalie(m) a conveniência e a oportunidade de adotar os seguintes procedimentos: </w:t>
      </w:r>
    </w:p>
    <w:p w14:paraId="7D1E5171" w14:textId="77777777" w:rsidR="00AC59F4" w:rsidRDefault="007338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right="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da proposta de melhoria A&gt;</w:t>
      </w:r>
      <w:r>
        <w:rPr>
          <w:rFonts w:ascii="Arial" w:eastAsia="Arial" w:hAnsi="Arial" w:cs="Arial"/>
        </w:rPr>
        <w:t xml:space="preserve">, com vistas a </w:t>
      </w:r>
      <w:r>
        <w:rPr>
          <w:rFonts w:ascii="Arial" w:eastAsia="Arial" w:hAnsi="Arial" w:cs="Arial"/>
          <w:color w:val="FF0000"/>
        </w:rPr>
        <w:t>&lt;melhoria/aperfeiçoamento esperado&gt;</w:t>
      </w:r>
      <w:r>
        <w:rPr>
          <w:rFonts w:ascii="Arial" w:eastAsia="Arial" w:hAnsi="Arial" w:cs="Arial"/>
        </w:rPr>
        <w:t xml:space="preserve">; </w:t>
      </w:r>
    </w:p>
    <w:p w14:paraId="0F275E0E" w14:textId="77777777" w:rsidR="00AC59F4" w:rsidRDefault="007338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-5"/>
        </w:tabs>
        <w:spacing w:before="200" w:after="0" w:line="240" w:lineRule="auto"/>
        <w:ind w:right="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da proposta de melhoria B&gt;</w:t>
      </w:r>
      <w:r>
        <w:rPr>
          <w:rFonts w:ascii="Arial" w:eastAsia="Arial" w:hAnsi="Arial" w:cs="Arial"/>
        </w:rPr>
        <w:t xml:space="preserve">, com vistas a </w:t>
      </w:r>
      <w:r>
        <w:rPr>
          <w:rFonts w:ascii="Arial" w:eastAsia="Arial" w:hAnsi="Arial" w:cs="Arial"/>
          <w:color w:val="FF0000"/>
        </w:rPr>
        <w:t>&lt;melhoria/aperfeiçoamento esperado&gt;</w:t>
      </w:r>
      <w:r>
        <w:rPr>
          <w:rFonts w:ascii="Arial" w:eastAsia="Arial" w:hAnsi="Arial" w:cs="Arial"/>
        </w:rPr>
        <w:t xml:space="preserve">. </w:t>
      </w:r>
    </w:p>
    <w:p w14:paraId="3AF3C628" w14:textId="77777777" w:rsidR="00AC59F4" w:rsidRDefault="007338AE">
      <w:pPr>
        <w:numPr>
          <w:ilvl w:val="1"/>
          <w:numId w:val="4"/>
        </w:numP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de uso geral para </w:t>
      </w:r>
      <w:r>
        <w:rPr>
          <w:rFonts w:ascii="Arial" w:eastAsia="Arial" w:hAnsi="Arial" w:cs="Arial"/>
          <w:b/>
          <w:u w:val="single"/>
        </w:rPr>
        <w:t>determinações</w:t>
      </w:r>
      <w:r>
        <w:rPr>
          <w:rFonts w:ascii="Arial" w:eastAsia="Arial" w:hAnsi="Arial" w:cs="Arial"/>
        </w:rPr>
        <w:t xml:space="preserve">: determinar ao(s) </w:t>
      </w:r>
      <w:r>
        <w:rPr>
          <w:rFonts w:ascii="Arial" w:eastAsia="Arial" w:hAnsi="Arial" w:cs="Arial"/>
          <w:color w:val="FF0000"/>
        </w:rPr>
        <w:t>&lt;identificação precisa do órgão(s)/entidade(s)/unidade(s) jurisdicionada&gt;</w:t>
      </w:r>
      <w:r>
        <w:rPr>
          <w:rFonts w:ascii="Arial" w:eastAsia="Arial" w:hAnsi="Arial" w:cs="Arial"/>
        </w:rPr>
        <w:t xml:space="preserve">, com fundamento no art. </w:t>
      </w:r>
      <w:r>
        <w:rPr>
          <w:rFonts w:ascii="Arial" w:eastAsia="Arial" w:hAnsi="Arial" w:cs="Arial"/>
          <w:color w:val="FF0000"/>
        </w:rPr>
        <w:t>&lt;fundamentação que legitima o Tribunal de Contas a expedir a determinação&gt;</w:t>
      </w:r>
      <w:r>
        <w:rPr>
          <w:rFonts w:ascii="Arial" w:eastAsia="Arial" w:hAnsi="Arial" w:cs="Arial"/>
        </w:rPr>
        <w:t xml:space="preserve">, que adote(m), no prazo de </w:t>
      </w:r>
      <w:r>
        <w:rPr>
          <w:rFonts w:ascii="Arial" w:eastAsia="Arial" w:hAnsi="Arial" w:cs="Arial"/>
          <w:color w:val="FF0000"/>
        </w:rPr>
        <w:t>&lt;prazo concedido para o cumprimento da determinação&gt;</w:t>
      </w:r>
      <w:r>
        <w:rPr>
          <w:rFonts w:ascii="Arial" w:eastAsia="Arial" w:hAnsi="Arial" w:cs="Arial"/>
        </w:rPr>
        <w:t xml:space="preserve">, providências com vistas a </w:t>
      </w:r>
      <w:r>
        <w:rPr>
          <w:rFonts w:ascii="Arial" w:eastAsia="Arial" w:hAnsi="Arial" w:cs="Arial"/>
          <w:color w:val="FF0000"/>
        </w:rPr>
        <w:t>&lt;indicação da ação e descrição da situação a ser regularizada&gt;</w:t>
      </w:r>
      <w:r>
        <w:rPr>
          <w:rFonts w:ascii="Arial" w:eastAsia="Arial" w:hAnsi="Arial" w:cs="Arial"/>
        </w:rPr>
        <w:t xml:space="preserve">, por estar em desacordo com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>.</w:t>
      </w:r>
    </w:p>
    <w:p w14:paraId="3505BFC7" w14:textId="77777777" w:rsidR="00AC59F4" w:rsidRDefault="007338AE">
      <w:pPr>
        <w:numPr>
          <w:ilvl w:val="1"/>
          <w:numId w:val="4"/>
        </w:numP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relativo a determinações para unidades técnicas do Tribunal de Contas: determinar à </w:t>
      </w:r>
      <w:r>
        <w:rPr>
          <w:rFonts w:ascii="Arial" w:eastAsia="Arial" w:hAnsi="Arial" w:cs="Arial"/>
          <w:color w:val="FF0000"/>
        </w:rPr>
        <w:t>&lt;identificação da unidade técnica&gt;</w:t>
      </w:r>
      <w:r>
        <w:rPr>
          <w:rFonts w:ascii="Arial" w:eastAsia="Arial" w:hAnsi="Arial" w:cs="Arial"/>
        </w:rPr>
        <w:t xml:space="preserve"> que </w:t>
      </w:r>
      <w:r>
        <w:rPr>
          <w:rFonts w:ascii="Arial" w:eastAsia="Arial" w:hAnsi="Arial" w:cs="Arial"/>
          <w:color w:val="FF0000"/>
        </w:rPr>
        <w:t>&lt;ação a ser desenvolvida pela unidade técnica&gt;</w:t>
      </w:r>
      <w:r>
        <w:rPr>
          <w:rFonts w:ascii="Arial" w:eastAsia="Arial" w:hAnsi="Arial" w:cs="Arial"/>
        </w:rPr>
        <w:t xml:space="preserve">, com vistas a </w:t>
      </w:r>
      <w:r>
        <w:rPr>
          <w:rFonts w:ascii="Arial" w:eastAsia="Arial" w:hAnsi="Arial" w:cs="Arial"/>
          <w:color w:val="FF0000"/>
        </w:rPr>
        <w:t>&lt;identificar o objetivo da ação&gt;</w:t>
      </w:r>
      <w:r>
        <w:rPr>
          <w:rFonts w:ascii="Arial" w:eastAsia="Arial" w:hAnsi="Arial" w:cs="Arial"/>
        </w:rPr>
        <w:t xml:space="preserve">. </w:t>
      </w:r>
    </w:p>
    <w:p w14:paraId="389B0791" w14:textId="77777777" w:rsidR="00AC59F4" w:rsidRDefault="007338AE">
      <w:pPr>
        <w:numPr>
          <w:ilvl w:val="1"/>
          <w:numId w:val="4"/>
        </w:numP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para os casos em que existem mais de uma irregularidade:  determinar ao(s) </w:t>
      </w:r>
      <w:r>
        <w:rPr>
          <w:rFonts w:ascii="Arial" w:eastAsia="Arial" w:hAnsi="Arial" w:cs="Arial"/>
          <w:color w:val="FF0000"/>
        </w:rPr>
        <w:t>&lt;identificação precisa do órgão(s)/entidade(s)/unidade(s)&gt;</w:t>
      </w:r>
      <w:r>
        <w:rPr>
          <w:rFonts w:ascii="Arial" w:eastAsia="Arial" w:hAnsi="Arial" w:cs="Arial"/>
        </w:rPr>
        <w:t xml:space="preserve">, com fundamento no art. </w:t>
      </w:r>
      <w:r>
        <w:rPr>
          <w:rFonts w:ascii="Arial" w:eastAsia="Arial" w:hAnsi="Arial" w:cs="Arial"/>
          <w:color w:val="FF0000"/>
        </w:rPr>
        <w:t>&lt;fundamentação que legitima o Tribunal de Contas a expedir a determinação&gt;</w:t>
      </w:r>
      <w:r>
        <w:rPr>
          <w:rFonts w:ascii="Arial" w:eastAsia="Arial" w:hAnsi="Arial" w:cs="Arial"/>
        </w:rPr>
        <w:t xml:space="preserve">, que adote(m), no prazo de </w:t>
      </w:r>
      <w:r>
        <w:rPr>
          <w:rFonts w:ascii="Arial" w:eastAsia="Arial" w:hAnsi="Arial" w:cs="Arial"/>
          <w:color w:val="FF0000"/>
        </w:rPr>
        <w:t>&lt;prazo concedido para o cumprimento da determinação&gt;</w:t>
      </w:r>
      <w:r>
        <w:rPr>
          <w:rFonts w:ascii="Arial" w:eastAsia="Arial" w:hAnsi="Arial" w:cs="Arial"/>
        </w:rPr>
        <w:t xml:space="preserve">, providências com vistas a: </w:t>
      </w:r>
    </w:p>
    <w:p w14:paraId="2E7E0A16" w14:textId="77777777" w:rsidR="00AC59F4" w:rsidRDefault="007338AE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0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&lt;indicação da ação&gt;</w:t>
      </w:r>
      <w:r>
        <w:rPr>
          <w:rFonts w:ascii="Arial" w:eastAsia="Arial" w:hAnsi="Arial" w:cs="Arial"/>
        </w:rPr>
        <w:t xml:space="preserve"> para evitar a ocorrência </w:t>
      </w:r>
      <w:r>
        <w:rPr>
          <w:rFonts w:ascii="Arial" w:eastAsia="Arial" w:hAnsi="Arial" w:cs="Arial"/>
          <w:color w:val="FF0000"/>
        </w:rPr>
        <w:t xml:space="preserve">&lt;descrição da </w:t>
      </w:r>
      <w:proofErr w:type="spellStart"/>
      <w:proofErr w:type="gramStart"/>
      <w:r>
        <w:rPr>
          <w:rFonts w:ascii="Arial" w:eastAsia="Arial" w:hAnsi="Arial" w:cs="Arial"/>
          <w:color w:val="FF0000"/>
        </w:rPr>
        <w:t>situação”A</w:t>
      </w:r>
      <w:proofErr w:type="spellEnd"/>
      <w:proofErr w:type="gramEnd"/>
      <w:r>
        <w:rPr>
          <w:rFonts w:ascii="Arial" w:eastAsia="Arial" w:hAnsi="Arial" w:cs="Arial"/>
          <w:color w:val="FF0000"/>
        </w:rPr>
        <w:t xml:space="preserve">” </w:t>
      </w:r>
      <w:r>
        <w:rPr>
          <w:rFonts w:ascii="Arial" w:eastAsia="Arial" w:hAnsi="Arial" w:cs="Arial"/>
          <w:color w:val="FF0000"/>
        </w:rPr>
        <w:lastRenderedPageBreak/>
        <w:t>a ser regularizada&gt;</w:t>
      </w:r>
      <w:r>
        <w:rPr>
          <w:rFonts w:ascii="Arial" w:eastAsia="Arial" w:hAnsi="Arial" w:cs="Arial"/>
        </w:rPr>
        <w:t xml:space="preserve">, por estar em desacordo com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>;</w:t>
      </w:r>
    </w:p>
    <w:p w14:paraId="3455C19D" w14:textId="77777777" w:rsidR="00AC59F4" w:rsidRDefault="007338AE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0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&lt;indicação da ação&gt;</w:t>
      </w:r>
      <w:r>
        <w:rPr>
          <w:rFonts w:ascii="Arial" w:eastAsia="Arial" w:hAnsi="Arial" w:cs="Arial"/>
        </w:rPr>
        <w:t xml:space="preserve"> para evitar a ocorrência </w:t>
      </w:r>
      <w:r>
        <w:rPr>
          <w:rFonts w:ascii="Arial" w:eastAsia="Arial" w:hAnsi="Arial" w:cs="Arial"/>
          <w:color w:val="FF0000"/>
        </w:rPr>
        <w:t>&lt;descrição da situação “B” a ser regularizada&gt;</w:t>
      </w:r>
      <w:r>
        <w:rPr>
          <w:rFonts w:ascii="Arial" w:eastAsia="Arial" w:hAnsi="Arial" w:cs="Arial"/>
        </w:rPr>
        <w:t xml:space="preserve">, por estar em desacordo com </w:t>
      </w:r>
      <w:r>
        <w:rPr>
          <w:rFonts w:ascii="Arial" w:eastAsia="Arial" w:hAnsi="Arial" w:cs="Arial"/>
          <w:color w:val="FF0000"/>
        </w:rPr>
        <w:t>&lt;fundamentação legal/normativa ou jurisprudencial infringida&gt;</w:t>
      </w:r>
      <w:r>
        <w:rPr>
          <w:rFonts w:ascii="Arial" w:eastAsia="Arial" w:hAnsi="Arial" w:cs="Arial"/>
        </w:rPr>
        <w:t>.</w:t>
      </w:r>
    </w:p>
    <w:p w14:paraId="58F172C9" w14:textId="77777777" w:rsidR="00AC59F4" w:rsidRDefault="007338AE">
      <w:pPr>
        <w:numPr>
          <w:ilvl w:val="1"/>
          <w:numId w:val="4"/>
        </w:numP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 xml:space="preserve">Formato para os casos em que for determinada a apresentação de </w:t>
      </w:r>
      <w:r>
        <w:rPr>
          <w:rFonts w:ascii="Arial" w:eastAsia="Arial" w:hAnsi="Arial" w:cs="Arial"/>
          <w:b/>
          <w:u w:val="single"/>
        </w:rPr>
        <w:t>Plano de Ação</w:t>
      </w:r>
      <w:r>
        <w:rPr>
          <w:rFonts w:ascii="Arial" w:eastAsia="Arial" w:hAnsi="Arial" w:cs="Arial"/>
        </w:rPr>
        <w:t xml:space="preserve">: determinar ao(s) </w:t>
      </w:r>
      <w:r>
        <w:rPr>
          <w:rFonts w:ascii="Arial" w:eastAsia="Arial" w:hAnsi="Arial" w:cs="Arial"/>
          <w:color w:val="FF0000"/>
        </w:rPr>
        <w:t>&lt;órgão(s)/entidade(s)/unidade(s)&gt;</w:t>
      </w:r>
      <w:r>
        <w:rPr>
          <w:rFonts w:ascii="Arial" w:eastAsia="Arial" w:hAnsi="Arial" w:cs="Arial"/>
        </w:rPr>
        <w:t xml:space="preserve">, com fundamento no art. </w:t>
      </w:r>
      <w:r>
        <w:rPr>
          <w:rFonts w:ascii="Arial" w:eastAsia="Arial" w:hAnsi="Arial" w:cs="Arial"/>
          <w:color w:val="FF0000"/>
        </w:rPr>
        <w:t>&lt;fundamentação que legitima o Tribunal de Contas a expedir a determinação&gt;</w:t>
      </w:r>
      <w:r>
        <w:rPr>
          <w:rFonts w:ascii="Arial" w:eastAsia="Arial" w:hAnsi="Arial" w:cs="Arial"/>
        </w:rPr>
        <w:t xml:space="preserve">, que apresente(m) a este Tribunal Contas, no prazo de </w:t>
      </w:r>
      <w:r>
        <w:rPr>
          <w:rFonts w:ascii="Arial" w:eastAsia="Arial" w:hAnsi="Arial" w:cs="Arial"/>
          <w:color w:val="FF0000"/>
        </w:rPr>
        <w:t>&lt;prazo concedido para a apresentação do plano de ação&gt;</w:t>
      </w:r>
      <w:r>
        <w:rPr>
          <w:rFonts w:ascii="Arial" w:eastAsia="Arial" w:hAnsi="Arial" w:cs="Arial"/>
        </w:rPr>
        <w:t xml:space="preserve">, plano de ação com vistas a </w:t>
      </w:r>
      <w:r>
        <w:rPr>
          <w:rFonts w:ascii="Arial" w:eastAsia="Arial" w:hAnsi="Arial" w:cs="Arial"/>
          <w:color w:val="FF0000"/>
        </w:rPr>
        <w:t>&lt;descrição do problema a ser saneado&gt;</w:t>
      </w:r>
      <w:r>
        <w:rPr>
          <w:rFonts w:ascii="Arial" w:eastAsia="Arial" w:hAnsi="Arial" w:cs="Arial"/>
        </w:rPr>
        <w:t xml:space="preserve"> contendo, no mínimo, as medidas a serem adotadas, os responsáveis pelas ações e o prazo previsto para a sua implementação; </w:t>
      </w:r>
    </w:p>
    <w:p w14:paraId="41CD5F30" w14:textId="77777777" w:rsidR="00AC59F4" w:rsidRDefault="007338AE">
      <w:pPr>
        <w:numPr>
          <w:ilvl w:val="1"/>
          <w:numId w:val="4"/>
        </w:numPr>
        <w:tabs>
          <w:tab w:val="left" w:pos="-5"/>
        </w:tabs>
        <w:spacing w:before="200" w:after="0" w:line="240" w:lineRule="auto"/>
        <w:ind w:left="850" w:right="108" w:hanging="150"/>
        <w:jc w:val="both"/>
      </w:pPr>
      <w:r>
        <w:rPr>
          <w:rFonts w:ascii="Arial" w:eastAsia="Arial" w:hAnsi="Arial" w:cs="Arial"/>
        </w:rPr>
        <w:t>Formato para os casos em que for determinada a apresentação de Plano de Ação:  (</w:t>
      </w:r>
      <w:r>
        <w:rPr>
          <w:rFonts w:ascii="Arial" w:eastAsia="Arial" w:hAnsi="Arial" w:cs="Arial"/>
          <w:i/>
        </w:rPr>
        <w:t>no caso de mais de uma situação-problema</w:t>
      </w:r>
      <w:r>
        <w:rPr>
          <w:rFonts w:ascii="Arial" w:eastAsia="Arial" w:hAnsi="Arial" w:cs="Arial"/>
        </w:rPr>
        <w:t xml:space="preserve">): determinar ao(s) </w:t>
      </w:r>
      <w:r>
        <w:rPr>
          <w:rFonts w:ascii="Arial" w:eastAsia="Arial" w:hAnsi="Arial" w:cs="Arial"/>
          <w:color w:val="FF0000"/>
        </w:rPr>
        <w:t>&lt;&lt;órgão(s)/entidade(s)/unidade(s)&gt;</w:t>
      </w:r>
      <w:r>
        <w:rPr>
          <w:rFonts w:ascii="Arial" w:eastAsia="Arial" w:hAnsi="Arial" w:cs="Arial"/>
        </w:rPr>
        <w:t xml:space="preserve">, com fundamento no art. </w:t>
      </w:r>
      <w:r>
        <w:rPr>
          <w:rFonts w:ascii="Arial" w:eastAsia="Arial" w:hAnsi="Arial" w:cs="Arial"/>
          <w:color w:val="FF0000"/>
        </w:rPr>
        <w:t>&lt;fundamentação que legitima o Tribunal de Contas a expedir a determinação&gt;</w:t>
      </w:r>
      <w:r>
        <w:rPr>
          <w:rFonts w:ascii="Arial" w:eastAsia="Arial" w:hAnsi="Arial" w:cs="Arial"/>
        </w:rPr>
        <w:t xml:space="preserve">, que apresente(m) a este Tribunal de Contas, no prazo de </w:t>
      </w:r>
      <w:r>
        <w:rPr>
          <w:rFonts w:ascii="Arial" w:eastAsia="Arial" w:hAnsi="Arial" w:cs="Arial"/>
          <w:color w:val="FF0000"/>
        </w:rPr>
        <w:t>&lt;prazo concedido para a apresentação do plano de ação&gt;</w:t>
      </w:r>
      <w:r>
        <w:rPr>
          <w:rFonts w:ascii="Arial" w:eastAsia="Arial" w:hAnsi="Arial" w:cs="Arial"/>
        </w:rPr>
        <w:t>, plano de ação com vistas a sanear os problemas, a seguir identificados, contendo, no mínimo, as medidas a serem adotadas, os responsáveis pelas ações e o prazo previsto para implementação:</w:t>
      </w:r>
    </w:p>
    <w:p w14:paraId="7EC989ED" w14:textId="77777777" w:rsidR="00AC59F4" w:rsidRDefault="007338AE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0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do problema identificado A&gt;</w:t>
      </w:r>
      <w:r>
        <w:rPr>
          <w:rFonts w:ascii="Arial" w:eastAsia="Arial" w:hAnsi="Arial" w:cs="Arial"/>
        </w:rPr>
        <w:t xml:space="preserve">; </w:t>
      </w:r>
    </w:p>
    <w:p w14:paraId="14BD52F8" w14:textId="77777777" w:rsidR="00AC59F4" w:rsidRDefault="007338AE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0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do problema identificado B&gt;</w:t>
      </w:r>
      <w:r>
        <w:rPr>
          <w:rFonts w:ascii="Arial" w:eastAsia="Arial" w:hAnsi="Arial" w:cs="Arial"/>
        </w:rPr>
        <w:t>; e</w:t>
      </w:r>
      <w:r>
        <w:rPr>
          <w:rFonts w:ascii="Arial" w:eastAsia="Arial" w:hAnsi="Arial" w:cs="Arial"/>
          <w:color w:val="FF0000"/>
        </w:rPr>
        <w:t xml:space="preserve"> </w:t>
      </w:r>
    </w:p>
    <w:p w14:paraId="3E24AFF6" w14:textId="77777777" w:rsidR="00AC59F4" w:rsidRDefault="007338AE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0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&lt;descrição do problema identificado C&gt;</w:t>
      </w:r>
      <w:r>
        <w:rPr>
          <w:rFonts w:ascii="Arial" w:eastAsia="Arial" w:hAnsi="Arial" w:cs="Arial"/>
        </w:rPr>
        <w:t>.  </w:t>
      </w:r>
    </w:p>
    <w:p w14:paraId="207F4F3B" w14:textId="77777777" w:rsidR="00AC59F4" w:rsidRDefault="00AC59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00448AF6" w14:textId="77777777" w:rsidR="007338AE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highlight w:val="white"/>
        </w:rPr>
      </w:pPr>
    </w:p>
    <w:p w14:paraId="30839534" w14:textId="78B4AA26" w:rsidR="008C2070" w:rsidRDefault="008C20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Utilize a última frase para reforçar o encaminhamento processual, mencionando o caminho para conhecimento e as devidas providências. Por exemplo:</w:t>
      </w:r>
    </w:p>
    <w:p w14:paraId="45F05E81" w14:textId="77777777" w:rsidR="008C2070" w:rsidRDefault="008C20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i/>
          <w:highlight w:val="white"/>
        </w:rPr>
      </w:pPr>
    </w:p>
    <w:p w14:paraId="4F0F3C43" w14:textId="3DD85D64" w:rsidR="00AC59F4" w:rsidRPr="008C2070" w:rsidRDefault="007338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 w:cs="Arial"/>
          <w:i/>
        </w:rPr>
      </w:pPr>
      <w:r w:rsidRPr="008C2070">
        <w:rPr>
          <w:rFonts w:ascii="Arial" w:eastAsia="Arial" w:hAnsi="Arial" w:cs="Arial"/>
          <w:i/>
          <w:highlight w:val="white"/>
        </w:rPr>
        <w:t xml:space="preserve">Encaminhem-se os presentes autos ao Gabinete do (a) Conselheiro (a) Relator (a), conforme </w:t>
      </w:r>
      <w:r w:rsidRPr="008C2070">
        <w:rPr>
          <w:rFonts w:ascii="Arial" w:eastAsia="Arial" w:hAnsi="Arial" w:cs="Arial"/>
          <w:i/>
          <w:color w:val="FF0000"/>
        </w:rPr>
        <w:t>&lt;citar o documento que determinou o retorno dos autos ao Relator, se for o caso</w:t>
      </w:r>
      <w:proofErr w:type="gramStart"/>
      <w:r w:rsidRPr="008C2070">
        <w:rPr>
          <w:rFonts w:ascii="Arial" w:eastAsia="Arial" w:hAnsi="Arial" w:cs="Arial"/>
          <w:i/>
          <w:color w:val="FF0000"/>
        </w:rPr>
        <w:t xml:space="preserve">&gt; </w:t>
      </w:r>
      <w:r w:rsidRPr="008C2070">
        <w:rPr>
          <w:rFonts w:ascii="Arial" w:eastAsia="Arial" w:hAnsi="Arial" w:cs="Arial"/>
          <w:i/>
          <w:color w:val="FF0000"/>
          <w:highlight w:val="white"/>
        </w:rPr>
        <w:t xml:space="preserve"> </w:t>
      </w:r>
      <w:r w:rsidRPr="008C2070">
        <w:rPr>
          <w:rFonts w:ascii="Arial" w:eastAsia="Arial" w:hAnsi="Arial" w:cs="Arial"/>
          <w:i/>
          <w:highlight w:val="white"/>
        </w:rPr>
        <w:t>para</w:t>
      </w:r>
      <w:proofErr w:type="gramEnd"/>
      <w:r w:rsidRPr="008C2070">
        <w:rPr>
          <w:rFonts w:ascii="Arial" w:eastAsia="Arial" w:hAnsi="Arial" w:cs="Arial"/>
          <w:i/>
          <w:highlight w:val="white"/>
        </w:rPr>
        <w:t xml:space="preserve"> ....</w:t>
      </w:r>
    </w:p>
    <w:p w14:paraId="1687A82A" w14:textId="2A52FD06" w:rsidR="00AC59F4" w:rsidRPr="008C2070" w:rsidRDefault="00AC59F4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</w:rPr>
      </w:pPr>
    </w:p>
    <w:p w14:paraId="4880B81E" w14:textId="3BD265D3" w:rsidR="007338AE" w:rsidRPr="008C2070" w:rsidRDefault="007338AE" w:rsidP="008C2070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</w:rPr>
      </w:pPr>
      <w:r w:rsidRPr="008C2070">
        <w:rPr>
          <w:rFonts w:ascii="Arial" w:eastAsia="Times New Roman" w:hAnsi="Arial" w:cs="Arial"/>
          <w:b/>
        </w:rPr>
        <w:t>Nota 1:</w:t>
      </w:r>
      <w:r w:rsidRPr="008C2070">
        <w:rPr>
          <w:rFonts w:ascii="Arial" w:eastAsia="Times New Roman" w:hAnsi="Arial" w:cs="Arial"/>
        </w:rPr>
        <w:t xml:space="preserve"> Nos casos que se enquadrarem nas hipóteses previstas na nota 7 do PO – Instruir Processo de Controle Externo, o processo </w:t>
      </w:r>
      <w:r w:rsidRPr="008C2070">
        <w:rPr>
          <w:rFonts w:ascii="Arial" w:eastAsia="Times New Roman" w:hAnsi="Arial" w:cs="Arial"/>
          <w:b/>
        </w:rPr>
        <w:t>deve ser remetido à Gerência temática correspondente</w:t>
      </w:r>
      <w:r w:rsidRPr="008C2070">
        <w:rPr>
          <w:rFonts w:ascii="Arial" w:eastAsia="Times New Roman" w:hAnsi="Arial" w:cs="Arial"/>
        </w:rPr>
        <w:t xml:space="preserve"> e, após, à Secretaria de Controle Externo, a qual, por sua vez, providenciará a remessa dos autos ao Relator competente.</w:t>
      </w:r>
    </w:p>
    <w:p w14:paraId="42379FC5" w14:textId="77777777" w:rsidR="007338AE" w:rsidRDefault="007338AE">
      <w:pPr>
        <w:tabs>
          <w:tab w:val="left" w:pos="1418"/>
        </w:tabs>
        <w:spacing w:after="0" w:line="240" w:lineRule="auto"/>
        <w:rPr>
          <w:rFonts w:ascii="Arial" w:eastAsia="Arial" w:hAnsi="Arial" w:cs="Arial"/>
        </w:rPr>
      </w:pPr>
    </w:p>
    <w:p w14:paraId="7222A787" w14:textId="77777777" w:rsidR="007338AE" w:rsidRDefault="007338AE">
      <w:pPr>
        <w:tabs>
          <w:tab w:val="left" w:pos="1418"/>
        </w:tabs>
        <w:spacing w:after="0" w:line="240" w:lineRule="auto"/>
        <w:rPr>
          <w:rFonts w:ascii="Arial" w:eastAsia="Arial" w:hAnsi="Arial" w:cs="Arial"/>
        </w:rPr>
      </w:pPr>
    </w:p>
    <w:p w14:paraId="6D4B1438" w14:textId="6AF91EE2" w:rsidR="00AC59F4" w:rsidRDefault="007338AE">
      <w:pPr>
        <w:tabs>
          <w:tab w:val="left" w:pos="1418"/>
        </w:tabs>
        <w:spacing w:after="0" w:line="240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Goiânia,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color w:val="FF0000"/>
        </w:rPr>
        <w:t>&lt;data&gt;.</w:t>
      </w:r>
    </w:p>
    <w:p w14:paraId="745394B0" w14:textId="77777777" w:rsidR="00AC59F4" w:rsidRDefault="00AC59F4">
      <w:pPr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</w:p>
    <w:p w14:paraId="457C16F4" w14:textId="77777777" w:rsidR="00AC59F4" w:rsidRDefault="00AC59F4">
      <w:pPr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</w:p>
    <w:p w14:paraId="44896196" w14:textId="77777777" w:rsidR="00AC59F4" w:rsidRDefault="007338AE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&lt;NOME&gt;</w:t>
      </w:r>
    </w:p>
    <w:p w14:paraId="65719440" w14:textId="77777777" w:rsidR="00AC59F4" w:rsidRDefault="007338AE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ANALISTA DE CONTROLE EXTERNO</w:t>
      </w:r>
    </w:p>
    <w:p w14:paraId="51515682" w14:textId="77777777" w:rsidR="00AC59F4" w:rsidRDefault="00AC59F4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8708B59" w14:textId="77777777" w:rsidR="00730522" w:rsidRDefault="00730522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09EB22B" w14:textId="77777777" w:rsidR="00730522" w:rsidRDefault="00730522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7325F77B" w14:textId="77777777" w:rsidR="00730522" w:rsidRDefault="00730522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2941E0D" w14:textId="77777777" w:rsidR="00AC59F4" w:rsidRDefault="007338AE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&lt;NOME&gt;</w:t>
      </w:r>
    </w:p>
    <w:p w14:paraId="57518FA5" w14:textId="77777777" w:rsidR="00AC59F4" w:rsidRDefault="007338AE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t>CHEFE DE SERVIÇO</w:t>
      </w:r>
    </w:p>
    <w:sectPr w:rsidR="00AC59F4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92A06" w14:textId="77777777" w:rsidR="009D3E2B" w:rsidRDefault="009D3E2B">
      <w:pPr>
        <w:spacing w:after="0" w:line="240" w:lineRule="auto"/>
      </w:pPr>
      <w:r>
        <w:separator/>
      </w:r>
    </w:p>
  </w:endnote>
  <w:endnote w:type="continuationSeparator" w:id="0">
    <w:p w14:paraId="68A13597" w14:textId="77777777" w:rsidR="009D3E2B" w:rsidRDefault="009D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44582" w14:textId="77777777" w:rsidR="00AC59F4" w:rsidRDefault="007338AE">
    <w:pPr>
      <w:pBdr>
        <w:top w:val="single" w:sz="4" w:space="1" w:color="BFBFBF"/>
      </w:pBdr>
      <w:tabs>
        <w:tab w:val="center" w:pos="4252"/>
      </w:tabs>
      <w:spacing w:after="0" w:line="240" w:lineRule="auto"/>
      <w:jc w:val="right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1A28A1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1A28A1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14:paraId="28AB8A1C" w14:textId="77777777" w:rsidR="00AC59F4" w:rsidRDefault="007338AE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14:paraId="57DE0DA4" w14:textId="77777777" w:rsidR="00AC59F4" w:rsidRDefault="00AC59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99979" w14:textId="77777777" w:rsidR="009D3E2B" w:rsidRDefault="009D3E2B">
      <w:pPr>
        <w:spacing w:after="0" w:line="240" w:lineRule="auto"/>
      </w:pPr>
      <w:r>
        <w:separator/>
      </w:r>
    </w:p>
  </w:footnote>
  <w:footnote w:type="continuationSeparator" w:id="0">
    <w:p w14:paraId="713262F7" w14:textId="77777777" w:rsidR="009D3E2B" w:rsidRDefault="009D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CCDB" w14:textId="77777777" w:rsidR="00AC59F4" w:rsidRDefault="00AC59F4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1"/>
      <w:tblW w:w="907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AC59F4" w14:paraId="1DBC7E6E" w14:textId="77777777">
      <w:trPr>
        <w:trHeight w:val="855"/>
      </w:trPr>
      <w:tc>
        <w:tcPr>
          <w:tcW w:w="2881" w:type="dxa"/>
        </w:tcPr>
        <w:p w14:paraId="60BED615" w14:textId="77777777" w:rsidR="00AC59F4" w:rsidRDefault="007338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567" w:firstLine="567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</w:rPr>
            <w:drawing>
              <wp:inline distT="0" distB="0" distL="0" distR="0" wp14:anchorId="21282224" wp14:editId="1BB2849D">
                <wp:extent cx="1319316" cy="711429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14:paraId="1427DAD8" w14:textId="77777777" w:rsidR="00AC59F4" w:rsidRDefault="007338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 w:val="28"/>
              <w:szCs w:val="28"/>
            </w:rPr>
          </w:pPr>
          <w:r>
            <w:rPr>
              <w:rFonts w:ascii="Arial" w:eastAsia="Arial" w:hAnsi="Arial" w:cs="Arial"/>
              <w:color w:val="000000"/>
              <w:sz w:val="28"/>
              <w:szCs w:val="28"/>
            </w:rPr>
            <w:t>Tribunal de Contas do Estado de Goiás</w:t>
          </w:r>
        </w:p>
        <w:p w14:paraId="58034392" w14:textId="6E02AF8A" w:rsidR="00AC59F4" w:rsidRPr="00A94728" w:rsidRDefault="00A9472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Cs w:val="28"/>
            </w:rPr>
          </w:pPr>
          <w:r w:rsidRPr="00A94728">
            <w:rPr>
              <w:rFonts w:ascii="Arial" w:eastAsia="Arial" w:hAnsi="Arial" w:cs="Arial"/>
              <w:color w:val="000000"/>
              <w:szCs w:val="28"/>
            </w:rPr>
            <w:t>Secretaria de Controle Externo</w:t>
          </w:r>
        </w:p>
        <w:p w14:paraId="781537BE" w14:textId="232CD586" w:rsidR="00A94728" w:rsidRPr="00A94728" w:rsidRDefault="00A9472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  <w:szCs w:val="28"/>
            </w:rPr>
          </w:pPr>
          <w:r w:rsidRPr="00A94728">
            <w:rPr>
              <w:rFonts w:ascii="Arial" w:eastAsia="Arial" w:hAnsi="Arial" w:cs="Arial"/>
              <w:color w:val="000000"/>
              <w:szCs w:val="28"/>
            </w:rPr>
            <w:t xml:space="preserve">Gerência de Fiscalização </w:t>
          </w:r>
          <w:r w:rsidRPr="00A94728">
            <w:rPr>
              <w:rFonts w:ascii="Arial" w:eastAsia="Arial" w:hAnsi="Arial" w:cs="Arial"/>
              <w:color w:val="FF0000"/>
              <w:szCs w:val="28"/>
            </w:rPr>
            <w:t>Temática</w:t>
          </w:r>
        </w:p>
        <w:p w14:paraId="10440D3C" w14:textId="060F4985" w:rsidR="00AC59F4" w:rsidRPr="00A94728" w:rsidRDefault="00A9472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FF0000"/>
              <w:sz w:val="20"/>
              <w:szCs w:val="20"/>
            </w:rPr>
          </w:pPr>
          <w:r w:rsidRPr="00A94728">
            <w:rPr>
              <w:rFonts w:ascii="Arial" w:eastAsia="Arial" w:hAnsi="Arial" w:cs="Arial"/>
              <w:color w:val="000000"/>
              <w:szCs w:val="20"/>
            </w:rPr>
            <w:t xml:space="preserve">Serviço de Fiscalização </w:t>
          </w:r>
          <w:r w:rsidRPr="00A94728">
            <w:rPr>
              <w:rFonts w:ascii="Arial" w:eastAsia="Arial" w:hAnsi="Arial" w:cs="Arial"/>
              <w:color w:val="FF0000"/>
              <w:szCs w:val="20"/>
            </w:rPr>
            <w:t>Temático</w:t>
          </w:r>
        </w:p>
      </w:tc>
    </w:tr>
  </w:tbl>
  <w:p w14:paraId="634B0E50" w14:textId="77777777" w:rsidR="00AC59F4" w:rsidRDefault="00AC59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7302"/>
    <w:multiLevelType w:val="multilevel"/>
    <w:tmpl w:val="C71E48D6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9BB5E13"/>
    <w:multiLevelType w:val="multilevel"/>
    <w:tmpl w:val="A0D802FE"/>
    <w:lvl w:ilvl="0">
      <w:start w:val="1"/>
      <w:numFmt w:val="decimal"/>
      <w:lvlText w:val="%1."/>
      <w:lvlJc w:val="right"/>
      <w:pPr>
        <w:ind w:left="141" w:firstLine="0"/>
      </w:p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46F7578"/>
    <w:multiLevelType w:val="multilevel"/>
    <w:tmpl w:val="AA4A5768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39064E73"/>
    <w:multiLevelType w:val="multilevel"/>
    <w:tmpl w:val="B5983AE0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65F94630"/>
    <w:multiLevelType w:val="multilevel"/>
    <w:tmpl w:val="A34C19A6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9F4"/>
    <w:rsid w:val="00116AE3"/>
    <w:rsid w:val="00136BFD"/>
    <w:rsid w:val="001A28A1"/>
    <w:rsid w:val="00730522"/>
    <w:rsid w:val="00731D68"/>
    <w:rsid w:val="007338AE"/>
    <w:rsid w:val="008C2070"/>
    <w:rsid w:val="009D3E2B"/>
    <w:rsid w:val="00A425C0"/>
    <w:rsid w:val="00A70DBE"/>
    <w:rsid w:val="00A731E7"/>
    <w:rsid w:val="00A94728"/>
    <w:rsid w:val="00AC59F4"/>
    <w:rsid w:val="00AD324B"/>
    <w:rsid w:val="00BC42D9"/>
    <w:rsid w:val="00BD1D52"/>
    <w:rsid w:val="00C21E94"/>
    <w:rsid w:val="00D96E29"/>
    <w:rsid w:val="00E20EB1"/>
    <w:rsid w:val="00F5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1296"/>
  <w15:docId w15:val="{36645360-18DD-4F3A-8EF4-49A40E06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79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39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0793"/>
  </w:style>
  <w:style w:type="paragraph" w:styleId="Rodap">
    <w:name w:val="footer"/>
    <w:basedOn w:val="Normal"/>
    <w:link w:val="RodapChar"/>
    <w:uiPriority w:val="99"/>
    <w:unhideWhenUsed/>
    <w:rsid w:val="0039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0793"/>
  </w:style>
  <w:style w:type="table" w:styleId="Tabelacomgrade">
    <w:name w:val="Table Grid"/>
    <w:basedOn w:val="Tabelanormal"/>
    <w:uiPriority w:val="59"/>
    <w:rsid w:val="0039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90793"/>
    <w:pPr>
      <w:ind w:left="720"/>
      <w:contextualSpacing/>
    </w:pPr>
  </w:style>
  <w:style w:type="paragraph" w:styleId="SemEspaamento">
    <w:name w:val="No Spacing"/>
    <w:uiPriority w:val="1"/>
    <w:qFormat/>
    <w:rsid w:val="00390793"/>
    <w:pPr>
      <w:spacing w:after="0" w:line="240" w:lineRule="auto"/>
    </w:pPr>
  </w:style>
  <w:style w:type="paragraph" w:customStyle="1" w:styleId="western">
    <w:name w:val="western"/>
    <w:basedOn w:val="Normal"/>
    <w:rsid w:val="00390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90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90793"/>
    <w:rPr>
      <w:sz w:val="20"/>
      <w:szCs w:val="20"/>
    </w:rPr>
  </w:style>
  <w:style w:type="character" w:styleId="TextodoEspaoReservado">
    <w:name w:val="Placeholder Text"/>
    <w:basedOn w:val="Fontepargpadro"/>
    <w:uiPriority w:val="99"/>
    <w:semiHidden/>
    <w:rsid w:val="00390793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2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2FE3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F520C2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2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520C2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8C207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C20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tce.go.gov.br/documents/117455/370412/Manual+de+Padroniza%C3%A7%C3%A3o+Especifica%C3%A7%C3%A3o+Documental/e25cfc00-d228-47da-be90-108915d18b9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noi.tce.go.gov.br/atoNormativo/Publicado?id=100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NnpnWB5yekcGH2ZW5Eft82j7zQ==">CgMxLjAaHwoBMBIaChgICVIUChJ0YWJsZS5rZ2ZzaDNuYmlyazQyCGguZ2pkZ3hzMgloLjMwajB6bGw4AHIhMXRpUnoteGVSNFMxOE1Ycl9CZkcyZEs1RXRaeUx2RmZf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2370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Andrea Calixto Abdalla Ribeiro</cp:lastModifiedBy>
  <cp:revision>2</cp:revision>
  <dcterms:created xsi:type="dcterms:W3CDTF">2024-07-09T12:59:00Z</dcterms:created>
  <dcterms:modified xsi:type="dcterms:W3CDTF">2024-07-09T12:59:00Z</dcterms:modified>
</cp:coreProperties>
</file>